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6461"/>
        <w:gridCol w:w="1213"/>
      </w:tblGrid>
      <w:tr w14:paraId="2D95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270" w:hRule="atLeast"/>
        </w:trPr>
        <w:tc>
          <w:tcPr>
            <w:tcW w:w="7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31FB99">
            <w:pPr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附件3</w:t>
            </w:r>
          </w:p>
        </w:tc>
      </w:tr>
      <w:tr w14:paraId="40C6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3" w:type="dxa"/>
          <w:trHeight w:val="405" w:hRule="atLeast"/>
        </w:trPr>
        <w:tc>
          <w:tcPr>
            <w:tcW w:w="7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3F4A7"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镇街深化营商环境突破年活动考核指标体系</w:t>
            </w:r>
            <w:bookmarkEnd w:id="0"/>
          </w:p>
        </w:tc>
      </w:tr>
      <w:tr w14:paraId="20E9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70DEA">
            <w:pPr>
              <w:rPr>
                <w:rFonts w:hint="eastAsia"/>
              </w:rPr>
            </w:pPr>
          </w:p>
        </w:tc>
        <w:tc>
          <w:tcPr>
            <w:tcW w:w="7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5246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(6个一级指标14个二级指标)</w:t>
            </w:r>
          </w:p>
        </w:tc>
      </w:tr>
      <w:tr w14:paraId="118C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875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一级指标</w:t>
            </w: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440D">
            <w:pPr>
              <w:ind w:firstLine="2100" w:firstLineChars="10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  级  指  标</w:t>
            </w:r>
          </w:p>
        </w:tc>
      </w:tr>
      <w:tr w14:paraId="3ACD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1FC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组织领导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情况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(2分)</w:t>
            </w: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174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是否配备负责推进政府职能转变、优化营商环境工作人员(1分)</w:t>
            </w:r>
          </w:p>
        </w:tc>
      </w:tr>
      <w:tr w14:paraId="67B0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2809">
            <w:pPr>
              <w:rPr>
                <w:rFonts w:hint="eastAsia"/>
              </w:rPr>
            </w:pP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206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学习党的二十大、二十届三中全会精神及习近平总书记关于推进政府职能转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变和优化营商环境重要论述、中省市有关文件及会议精神(1分)</w:t>
            </w:r>
          </w:p>
        </w:tc>
      </w:tr>
      <w:tr w14:paraId="7B86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DAB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各项任务推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进情况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(56分)</w:t>
            </w: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9A8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《2024年深化营商环境突破年行动方案》(宝金发〔2024〕10号)安排部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署、年度目标任务完成、工作成效等情况(33分)</w:t>
            </w:r>
          </w:p>
        </w:tc>
      </w:tr>
      <w:tr w14:paraId="1889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C7E3">
            <w:pPr>
              <w:rPr>
                <w:rFonts w:hint="eastAsia"/>
              </w:rPr>
            </w:pP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236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《2024年金台区推进政府职能转变工作要点》相关改革任务的安排部署、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年度目标任务完成、工作成效等情况(23分)</w:t>
            </w:r>
          </w:p>
        </w:tc>
      </w:tr>
      <w:tr w14:paraId="2EE1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D63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经营主体满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意度调查情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况(6分)</w:t>
            </w: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7E1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经营主体满意度调查样本量完成情况(2分)</w:t>
            </w:r>
          </w:p>
        </w:tc>
      </w:tr>
      <w:tr w14:paraId="5566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9158">
            <w:pPr>
              <w:rPr>
                <w:rFonts w:hint="eastAsia"/>
              </w:rPr>
            </w:pP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564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经营主体满意度民意抽查结果(4分)</w:t>
            </w:r>
          </w:p>
        </w:tc>
      </w:tr>
      <w:tr w14:paraId="65EF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664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日常管理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情况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(15分)</w:t>
            </w: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EF7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按要求向区职转和营商办报送相关工作进展、台账、总结、典型经验、信息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简报、宣传稿件等情况(7分，未及时报送或未报送每次扣0.3分)</w:t>
            </w:r>
          </w:p>
        </w:tc>
      </w:tr>
      <w:tr w14:paraId="19D8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9BC7">
            <w:pPr>
              <w:rPr>
                <w:rFonts w:hint="eastAsia"/>
              </w:rPr>
            </w:pP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4BB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省营商环境突破年专栏、陕西省推进政府职能转变简报、市级《工作简报》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区级《工作简报》信息采用情况(最多3分，省、市、区每次分别得0.5分、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0.3分、0.1分)</w:t>
            </w:r>
          </w:p>
        </w:tc>
      </w:tr>
      <w:tr w14:paraId="69F0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A929">
            <w:pPr>
              <w:rPr>
                <w:rFonts w:hint="eastAsia"/>
              </w:rPr>
            </w:pP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868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国家、省、市级媒体及区优化营商环境专题专栏宣传稿件采用情况(最多3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分，每次得0.3分)</w:t>
            </w:r>
          </w:p>
        </w:tc>
      </w:tr>
      <w:tr w14:paraId="7383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345A">
            <w:pPr>
              <w:rPr>
                <w:rFonts w:hint="eastAsia"/>
              </w:rPr>
            </w:pP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DDA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按要求参加省、市、区关于推进政府职能转变和优化营商环境会议、培训等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情况(2分，未按要求参会的每次扣0.5分)</w:t>
            </w:r>
          </w:p>
        </w:tc>
      </w:tr>
      <w:tr w14:paraId="7424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369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调研暗访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通报情况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(7分)</w:t>
            </w: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DEA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被国家、省、市、区通报批评，产生不良影响的(每次扣1分，最多扣3分)</w:t>
            </w:r>
          </w:p>
        </w:tc>
      </w:tr>
      <w:tr w14:paraId="0324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7329">
            <w:pPr>
              <w:rPr>
                <w:rFonts w:hint="eastAsia"/>
              </w:rPr>
            </w:pP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73F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调研督导、明察暗访活动中，相关任务推进缓慢的、对审计发现问题整改不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到位的(每次扣1分，最多扣4分)</w:t>
            </w:r>
          </w:p>
        </w:tc>
      </w:tr>
      <w:tr w14:paraId="0E0D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A58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亮点工作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情况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(14分)</w:t>
            </w: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93C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优化营商环境、推进政府职能转变相关工作在全国、全省获奖或通报表彰表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扬，在全国、全省会议交流发言的(最多7分，全国、全省每次分别得1分、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0.5分)</w:t>
            </w:r>
          </w:p>
        </w:tc>
      </w:tr>
      <w:tr w14:paraId="217E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097A">
            <w:pPr>
              <w:rPr>
                <w:rFonts w:hint="eastAsia"/>
              </w:rPr>
            </w:pPr>
          </w:p>
        </w:tc>
        <w:tc>
          <w:tcPr>
            <w:tcW w:w="7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E78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相关做法被省委、省政府、市委、市政府领导批示肯定的；积极支持营商环境评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价工作等(最多7分，省、市每次分别得2分、1分)</w:t>
            </w:r>
          </w:p>
        </w:tc>
      </w:tr>
      <w:tr w14:paraId="0144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16201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</w:tbl>
    <w:p w14:paraId="19C8EC9E">
      <w:pPr>
        <w:rPr>
          <w:rFonts w:hint="eastAsia"/>
        </w:rPr>
      </w:pPr>
    </w:p>
    <w:p w14:paraId="59FF22D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32C8A"/>
    <w:rsid w:val="1FF07174"/>
    <w:rsid w:val="215238B8"/>
    <w:rsid w:val="3E1F3CF7"/>
    <w:rsid w:val="41DA7286"/>
    <w:rsid w:val="528F7C18"/>
    <w:rsid w:val="5E432C8A"/>
    <w:rsid w:val="654C1999"/>
    <w:rsid w:val="6AA933EA"/>
    <w:rsid w:val="705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宋体" w:hAnsi="宋体" w:eastAsia="宋体" w:cs="宋体"/>
      <w:b/>
      <w:bCs/>
      <w:color w:val="000000"/>
      <w:sz w:val="30"/>
      <w:szCs w:val="30"/>
      <w:u w:val="none"/>
    </w:rPr>
  </w:style>
  <w:style w:type="character" w:customStyle="1" w:styleId="6">
    <w:name w:val="font91"/>
    <w:basedOn w:val="3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7">
    <w:name w:val="font10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1"/>
    <w:basedOn w:val="3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112"/>
    <w:basedOn w:val="3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41"/>
    <w:basedOn w:val="3"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1">
    <w:name w:val="font51"/>
    <w:basedOn w:val="3"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2024-12-06T06:53:00Z</dcterms:created>
  <dc:creator>小幸福！</dc:creator>
  <cp:lastModifiedBy>小幸福！</cp:lastModifiedBy>
  <dcterms:modified xsi:type="dcterms:W3CDTF">2024-12-06T07:05:00Z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ACCCED016B5C47EFBFF225E9FCE3D190_13</vt:lpwstr>
  </property>
</Properties>
</file>