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6BC790">
      <w:pPr>
        <w:pStyle w:val="3"/>
        <w:keepNext w:val="0"/>
        <w:keepLines w:val="0"/>
        <w:tabs>
          <w:tab w:val="left" w:pos="4260"/>
        </w:tabs>
        <w:adjustRightInd w:val="0"/>
        <w:snapToGrid w:val="0"/>
        <w:spacing w:before="120" w:beforeLines="50" w:after="120" w:afterLines="50" w:line="360" w:lineRule="auto"/>
        <w:jc w:val="center"/>
        <w:rPr>
          <w:rFonts w:eastAsia="黑体"/>
          <w:b w:val="0"/>
          <w:sz w:val="52"/>
          <w:szCs w:val="52"/>
        </w:rPr>
      </w:pPr>
      <w:bookmarkStart w:id="0" w:name="_Toc50710084"/>
      <w:bookmarkStart w:id="1" w:name="_Toc50710148"/>
      <w:bookmarkStart w:id="2" w:name="_Toc49276042"/>
      <w:bookmarkStart w:id="3" w:name="_Toc46083495"/>
      <w:bookmarkStart w:id="4" w:name="_Toc51064508"/>
      <w:bookmarkStart w:id="5" w:name="_Toc45782138"/>
      <w:bookmarkStart w:id="6" w:name="_Toc53863282"/>
      <w:bookmarkStart w:id="7" w:name="_Toc50988048"/>
      <w:bookmarkStart w:id="8" w:name="_Toc50988300"/>
      <w:bookmarkStart w:id="9" w:name="_Toc42610313"/>
      <w:bookmarkStart w:id="10" w:name="_Toc41854879"/>
      <w:bookmarkStart w:id="11" w:name="_Toc41894163"/>
      <w:bookmarkStart w:id="437" w:name="_GoBack"/>
      <w:bookmarkEnd w:id="437"/>
    </w:p>
    <w:p w14:paraId="6E93B664"/>
    <w:p w14:paraId="6E51C196">
      <w:pPr>
        <w:pStyle w:val="2"/>
      </w:pPr>
    </w:p>
    <w:p w14:paraId="65598918">
      <w:pPr>
        <w:pStyle w:val="115"/>
        <w:spacing w:line="700" w:lineRule="exact"/>
        <w:outlineLvl w:val="9"/>
        <w:rPr>
          <w:rFonts w:ascii="Times New Roman" w:hAnsi="Times New Roman" w:eastAsia="小标宋"/>
          <w:sz w:val="52"/>
          <w:szCs w:val="52"/>
        </w:rPr>
      </w:pPr>
      <w:bookmarkStart w:id="12" w:name="_Toc41894160"/>
      <w:bookmarkStart w:id="13" w:name="_Toc58410606"/>
      <w:bookmarkStart w:id="14" w:name="_Toc58418618"/>
      <w:bookmarkStart w:id="15" w:name="_Toc58157926"/>
      <w:bookmarkStart w:id="16" w:name="_Toc58157847"/>
      <w:bookmarkStart w:id="17" w:name="_Toc58415611"/>
      <w:bookmarkStart w:id="18" w:name="_Toc42100022"/>
      <w:bookmarkStart w:id="19" w:name="_Toc57880401"/>
      <w:r>
        <w:rPr>
          <w:rFonts w:hint="eastAsia" w:ascii="Times New Roman" w:hAnsi="Times New Roman" w:eastAsia="方正小标宋简体"/>
          <w:sz w:val="41"/>
          <w:szCs w:val="41"/>
        </w:rPr>
        <w:t>宝鸡市金台区国民经济和社会发展</w:t>
      </w:r>
      <w:bookmarkEnd w:id="12"/>
      <w:bookmarkEnd w:id="13"/>
      <w:bookmarkEnd w:id="14"/>
      <w:bookmarkEnd w:id="15"/>
      <w:bookmarkEnd w:id="16"/>
      <w:bookmarkEnd w:id="17"/>
      <w:bookmarkEnd w:id="18"/>
      <w:bookmarkEnd w:id="19"/>
      <w:bookmarkStart w:id="20" w:name="_Toc57880402"/>
      <w:bookmarkStart w:id="21" w:name="_Toc58410607"/>
      <w:bookmarkStart w:id="22" w:name="_Toc41894161"/>
      <w:bookmarkStart w:id="23" w:name="_Toc58157927"/>
      <w:bookmarkStart w:id="24" w:name="_Toc58418619"/>
      <w:bookmarkStart w:id="25" w:name="_Toc42100023"/>
      <w:bookmarkStart w:id="26" w:name="_Toc58157848"/>
      <w:bookmarkStart w:id="27" w:name="_Toc58415612"/>
      <w:r>
        <w:rPr>
          <w:rFonts w:hint="eastAsia" w:ascii="Times New Roman" w:hAnsi="Times New Roman" w:eastAsia="方正小标宋简体"/>
          <w:sz w:val="41"/>
          <w:szCs w:val="41"/>
        </w:rPr>
        <w:t>第十四个五年规划和二</w:t>
      </w:r>
      <w:r>
        <w:rPr>
          <w:rFonts w:hint="eastAsia" w:ascii="Times New Roman" w:hAnsi="Times New Roman" w:cs="宋体"/>
          <w:sz w:val="41"/>
          <w:szCs w:val="41"/>
        </w:rPr>
        <w:t>〇</w:t>
      </w:r>
      <w:r>
        <w:rPr>
          <w:rFonts w:hint="eastAsia" w:ascii="Times New Roman" w:hAnsi="Times New Roman" w:eastAsia="方正小标宋简体"/>
          <w:sz w:val="41"/>
          <w:szCs w:val="41"/>
        </w:rPr>
        <w:t>三五年远景目标纲要</w:t>
      </w:r>
      <w:bookmarkEnd w:id="20"/>
      <w:bookmarkEnd w:id="21"/>
      <w:bookmarkEnd w:id="22"/>
      <w:bookmarkEnd w:id="23"/>
      <w:bookmarkEnd w:id="24"/>
      <w:bookmarkEnd w:id="25"/>
      <w:bookmarkEnd w:id="26"/>
      <w:bookmarkEnd w:id="27"/>
    </w:p>
    <w:p w14:paraId="34B87429">
      <w:pPr>
        <w:pStyle w:val="115"/>
        <w:outlineLvl w:val="9"/>
        <w:rPr>
          <w:rFonts w:ascii="Times New Roman" w:hAnsi="Times New Roman" w:eastAsia="小标宋"/>
          <w:sz w:val="52"/>
          <w:szCs w:val="52"/>
        </w:rPr>
      </w:pPr>
    </w:p>
    <w:p w14:paraId="22782997">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（2</w:t>
      </w:r>
      <w:r>
        <w:rPr>
          <w:rFonts w:ascii="Times New Roman" w:hAnsi="Times New Roman" w:eastAsia="仿宋_GB2312" w:cs="Arial"/>
          <w:sz w:val="32"/>
          <w:szCs w:val="32"/>
        </w:rPr>
        <w:t>021</w:t>
      </w:r>
      <w:r>
        <w:rPr>
          <w:rFonts w:hint="eastAsia" w:ascii="Times New Roman" w:hAnsi="Times New Roman" w:eastAsia="仿宋_GB2312" w:cs="Arial"/>
          <w:sz w:val="32"/>
          <w:szCs w:val="32"/>
        </w:rPr>
        <w:t>年1月2</w:t>
      </w:r>
      <w:r>
        <w:rPr>
          <w:rFonts w:ascii="Times New Roman" w:hAnsi="Times New Roman" w:eastAsia="仿宋_GB2312" w:cs="Arial"/>
          <w:sz w:val="32"/>
          <w:szCs w:val="32"/>
        </w:rPr>
        <w:t>2</w:t>
      </w:r>
      <w:r>
        <w:rPr>
          <w:rFonts w:hint="eastAsia" w:ascii="Times New Roman" w:hAnsi="Times New Roman" w:eastAsia="仿宋_GB2312" w:cs="Arial"/>
          <w:sz w:val="32"/>
          <w:szCs w:val="32"/>
        </w:rPr>
        <w:t>日金台区第十八届人民</w:t>
      </w:r>
    </w:p>
    <w:p w14:paraId="21FA52D0">
      <w:pPr>
        <w:adjustRightInd w:val="0"/>
        <w:snapToGrid w:val="0"/>
        <w:spacing w:line="360" w:lineRule="auto"/>
        <w:jc w:val="center"/>
        <w:rPr>
          <w:rFonts w:ascii="Times New Roman" w:hAnsi="Times New Roman" w:eastAsia="仿宋_GB2312" w:cs="Arial"/>
          <w:sz w:val="32"/>
          <w:szCs w:val="32"/>
        </w:rPr>
      </w:pPr>
      <w:r>
        <w:rPr>
          <w:rFonts w:hint="eastAsia" w:ascii="Times New Roman" w:hAnsi="Times New Roman" w:eastAsia="仿宋_GB2312" w:cs="Arial"/>
          <w:sz w:val="32"/>
          <w:szCs w:val="32"/>
        </w:rPr>
        <w:t>代表大会第六次会议批准）</w:t>
      </w:r>
    </w:p>
    <w:p w14:paraId="03967FAA">
      <w:pPr>
        <w:spacing w:before="120" w:after="120"/>
        <w:rPr>
          <w:rFonts w:ascii="Times New Roman" w:hAnsi="Times New Roman"/>
        </w:rPr>
      </w:pPr>
    </w:p>
    <w:p w14:paraId="1933C021">
      <w:pPr>
        <w:spacing w:before="120" w:after="120"/>
        <w:rPr>
          <w:rFonts w:ascii="Times New Roman" w:hAnsi="Times New Roman"/>
        </w:rPr>
      </w:pPr>
    </w:p>
    <w:p w14:paraId="088763B9">
      <w:pPr>
        <w:spacing w:before="120" w:after="120"/>
        <w:rPr>
          <w:rFonts w:ascii="Times New Roman" w:hAnsi="Times New Roman"/>
        </w:rPr>
      </w:pPr>
    </w:p>
    <w:p w14:paraId="150DBBF5">
      <w:pPr>
        <w:spacing w:before="120" w:after="120"/>
        <w:rPr>
          <w:rFonts w:ascii="Times New Roman" w:hAnsi="Times New Roman"/>
        </w:rPr>
      </w:pPr>
    </w:p>
    <w:p w14:paraId="460230FE">
      <w:pPr>
        <w:spacing w:before="120" w:after="120"/>
        <w:rPr>
          <w:rFonts w:ascii="Times New Roman" w:hAnsi="Times New Roman"/>
        </w:rPr>
      </w:pPr>
    </w:p>
    <w:p w14:paraId="05A373AF">
      <w:pPr>
        <w:spacing w:before="120" w:after="120"/>
        <w:rPr>
          <w:rFonts w:ascii="Times New Roman" w:hAnsi="Times New Roman"/>
        </w:rPr>
      </w:pPr>
    </w:p>
    <w:p w14:paraId="7BD968D0">
      <w:pPr>
        <w:spacing w:before="120" w:after="120"/>
        <w:rPr>
          <w:rFonts w:ascii="Times New Roman" w:hAnsi="Times New Roman"/>
        </w:rPr>
      </w:pPr>
    </w:p>
    <w:p w14:paraId="5B80B3DB">
      <w:pPr>
        <w:spacing w:before="120" w:after="120"/>
        <w:rPr>
          <w:rFonts w:ascii="Times New Roman" w:hAnsi="Times New Roman"/>
        </w:rPr>
      </w:pPr>
    </w:p>
    <w:p w14:paraId="5F6256C0">
      <w:pPr>
        <w:spacing w:before="120" w:after="120"/>
        <w:rPr>
          <w:rFonts w:ascii="Times New Roman" w:hAnsi="Times New Roman"/>
        </w:rPr>
      </w:pPr>
    </w:p>
    <w:p w14:paraId="0F465B39">
      <w:pPr>
        <w:spacing w:before="120" w:after="120"/>
        <w:rPr>
          <w:rFonts w:ascii="Times New Roman" w:hAnsi="Times New Roman"/>
        </w:rPr>
      </w:pPr>
    </w:p>
    <w:p w14:paraId="5CD5C6E6">
      <w:pPr>
        <w:spacing w:before="120" w:after="120"/>
        <w:rPr>
          <w:rFonts w:ascii="Times New Roman" w:hAnsi="Times New Roman"/>
        </w:rPr>
      </w:pPr>
    </w:p>
    <w:p w14:paraId="1AC69140">
      <w:pPr>
        <w:spacing w:before="120" w:after="120"/>
        <w:rPr>
          <w:rFonts w:ascii="Times New Roman" w:hAnsi="Times New Roman"/>
        </w:rPr>
      </w:pPr>
    </w:p>
    <w:p w14:paraId="3F1CAC22">
      <w:pPr>
        <w:spacing w:before="120" w:after="120"/>
        <w:rPr>
          <w:rFonts w:ascii="Times New Roman" w:hAnsi="Times New Roman"/>
        </w:rPr>
      </w:pPr>
    </w:p>
    <w:p w14:paraId="24CCBC23">
      <w:pPr>
        <w:spacing w:before="120" w:after="120"/>
        <w:rPr>
          <w:rFonts w:ascii="Times New Roman" w:hAnsi="Times New Roman"/>
        </w:rPr>
      </w:pPr>
    </w:p>
    <w:p w14:paraId="117FAE24">
      <w:pPr>
        <w:spacing w:before="120" w:after="120"/>
        <w:rPr>
          <w:rFonts w:ascii="Times New Roman" w:hAnsi="Times New Roman"/>
        </w:rPr>
      </w:pPr>
    </w:p>
    <w:p w14:paraId="3580FE8E">
      <w:pPr>
        <w:spacing w:before="120" w:after="120"/>
        <w:rPr>
          <w:rFonts w:ascii="Times New Roman" w:hAnsi="Times New Roman"/>
        </w:rPr>
      </w:pPr>
    </w:p>
    <w:p w14:paraId="4414096E">
      <w:pPr>
        <w:spacing w:before="120" w:after="120"/>
        <w:rPr>
          <w:rFonts w:ascii="Times New Roman" w:hAnsi="Times New Roman"/>
        </w:rPr>
      </w:pPr>
    </w:p>
    <w:p w14:paraId="25EBD4D8">
      <w:pPr>
        <w:spacing w:before="120" w:after="120"/>
        <w:rPr>
          <w:rFonts w:ascii="Times New Roman" w:hAnsi="Times New Roman"/>
        </w:rPr>
      </w:pPr>
    </w:p>
    <w:p w14:paraId="72055B1F">
      <w:pPr>
        <w:spacing w:before="120" w:after="120"/>
        <w:rPr>
          <w:rFonts w:ascii="Times New Roman" w:hAnsi="Times New Roman"/>
        </w:rPr>
      </w:pPr>
    </w:p>
    <w:p w14:paraId="0A1023E9">
      <w:pPr>
        <w:spacing w:before="120" w:after="120"/>
        <w:jc w:val="center"/>
        <w:rPr>
          <w:rFonts w:ascii="黑体" w:hAnsi="黑体" w:eastAsia="黑体" w:cs="黑体"/>
          <w:sz w:val="36"/>
          <w:szCs w:val="36"/>
        </w:rPr>
        <w:sectPr>
          <w:footerReference r:id="rId4" w:type="default"/>
          <w:pgSz w:w="11907" w:h="16840"/>
          <w:pgMar w:top="2098" w:right="1474" w:bottom="1985" w:left="1588" w:header="720" w:footer="720" w:gutter="0"/>
          <w:pgNumType w:fmt="upperRoman"/>
          <w:cols w:space="720" w:num="1"/>
        </w:sectPr>
      </w:pPr>
    </w:p>
    <w:p w14:paraId="737EAF0A">
      <w:pPr>
        <w:pStyle w:val="24"/>
        <w:tabs>
          <w:tab w:val="right" w:pos="8297"/>
        </w:tabs>
        <w:ind w:left="199" w:leftChars="95"/>
        <w:jc w:val="center"/>
      </w:pPr>
      <w:r>
        <w:rPr>
          <w:rFonts w:hint="eastAsia" w:ascii="Times New Roman" w:hAnsi="Times New Roman" w:eastAsia="黑体"/>
          <w:b/>
          <w:sz w:val="30"/>
          <w:szCs w:val="30"/>
        </w:rPr>
        <w:t>目</w:t>
      </w:r>
      <w:r>
        <w:rPr>
          <w:rFonts w:ascii="Times New Roman" w:hAnsi="Times New Roman" w:eastAsia="黑体"/>
          <w:b/>
          <w:sz w:val="30"/>
          <w:szCs w:val="30"/>
        </w:rPr>
        <w:t xml:space="preserve"> </w:t>
      </w:r>
      <w:r>
        <w:rPr>
          <w:rFonts w:hint="eastAsia" w:ascii="Times New Roman" w:hAnsi="Times New Roman" w:eastAsia="黑体"/>
          <w:b/>
          <w:sz w:val="30"/>
          <w:szCs w:val="30"/>
        </w:rPr>
        <w:t>录</w:t>
      </w:r>
      <w:bookmarkEnd w:id="0"/>
      <w:bookmarkEnd w:id="1"/>
      <w:bookmarkEnd w:id="2"/>
      <w:bookmarkEnd w:id="3"/>
      <w:bookmarkEnd w:id="4"/>
      <w:bookmarkEnd w:id="5"/>
      <w:bookmarkEnd w:id="6"/>
      <w:bookmarkEnd w:id="7"/>
      <w:bookmarkEnd w:id="8"/>
      <w:r>
        <w:rPr>
          <w:rFonts w:ascii="Times New Roman" w:hAnsi="Times New Roman" w:eastAsia="黑体"/>
          <w:b/>
          <w:sz w:val="30"/>
          <w:szCs w:val="30"/>
        </w:rPr>
        <w:fldChar w:fldCharType="begin"/>
      </w:r>
      <w:r>
        <w:rPr>
          <w:rFonts w:ascii="Times New Roman" w:hAnsi="Times New Roman" w:eastAsia="黑体"/>
          <w:b/>
          <w:sz w:val="30"/>
          <w:szCs w:val="30"/>
        </w:rPr>
        <w:instrText xml:space="preserve"> TOC \o "1-2" \h \z \u </w:instrText>
      </w:r>
      <w:r>
        <w:rPr>
          <w:rFonts w:ascii="Times New Roman" w:hAnsi="Times New Roman" w:eastAsia="黑体"/>
          <w:b/>
          <w:sz w:val="30"/>
          <w:szCs w:val="30"/>
        </w:rPr>
        <w:fldChar w:fldCharType="separate"/>
      </w:r>
    </w:p>
    <w:p w14:paraId="13D4C49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"_Toc66442945" </w:instrText>
      </w:r>
      <w:r>
        <w:fldChar w:fldCharType="separate"/>
      </w:r>
      <w:r>
        <w:rPr>
          <w:rStyle w:val="35"/>
          <w:rFonts w:eastAsia="方正小标宋简体"/>
          <w:color w:val="auto"/>
        </w:rPr>
        <w:t>第一章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发展基础与环境</w:t>
      </w:r>
      <w:r>
        <w:tab/>
      </w:r>
      <w:r>
        <w:fldChar w:fldCharType="begin"/>
      </w:r>
      <w:r>
        <w:instrText xml:space="preserve"> PAGEREF _Toc66442945 \h </w:instrText>
      </w:r>
      <w:r>
        <w:fldChar w:fldCharType="separate"/>
      </w:r>
      <w:r>
        <w:t>1</w:t>
      </w:r>
      <w:r>
        <w:fldChar w:fldCharType="end"/>
      </w:r>
      <w:r>
        <w:fldChar w:fldCharType="end"/>
      </w:r>
    </w:p>
    <w:p w14:paraId="30357A5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"_Toc66442946" </w:instrText>
      </w:r>
      <w:r>
        <w:fldChar w:fldCharType="separate"/>
      </w:r>
      <w:r>
        <w:rPr>
          <w:rStyle w:val="35"/>
          <w:rFonts w:ascii="Times New Roman" w:hAnsi="Times New Roman" w:cs="宋体"/>
          <w:color w:val="auto"/>
        </w:rPr>
        <w:t>第一节 发展基础</w:t>
      </w:r>
      <w:r>
        <w:tab/>
      </w:r>
      <w:r>
        <w:fldChar w:fldCharType="begin"/>
      </w:r>
      <w:r>
        <w:instrText xml:space="preserve"> PAGEREF _Toc66442946 \h </w:instrText>
      </w:r>
      <w:r>
        <w:fldChar w:fldCharType="separate"/>
      </w:r>
      <w:r>
        <w:t>1</w:t>
      </w:r>
      <w:r>
        <w:fldChar w:fldCharType="end"/>
      </w:r>
      <w:r>
        <w:fldChar w:fldCharType="end"/>
      </w:r>
    </w:p>
    <w:p w14:paraId="7DC288C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"_Toc66442947" </w:instrText>
      </w:r>
      <w:r>
        <w:fldChar w:fldCharType="separate"/>
      </w:r>
      <w:r>
        <w:rPr>
          <w:rStyle w:val="35"/>
          <w:rFonts w:ascii="Times New Roman" w:hAnsi="Times New Roman" w:cs="宋体"/>
          <w:color w:val="auto"/>
        </w:rPr>
        <w:t>第二节 发展环境</w:t>
      </w:r>
      <w:r>
        <w:tab/>
      </w:r>
      <w:r>
        <w:fldChar w:fldCharType="begin"/>
      </w:r>
      <w:r>
        <w:instrText xml:space="preserve"> PAGEREF _Toc66442947 \h </w:instrText>
      </w:r>
      <w:r>
        <w:fldChar w:fldCharType="separate"/>
      </w:r>
      <w:r>
        <w:t>7</w:t>
      </w:r>
      <w:r>
        <w:fldChar w:fldCharType="end"/>
      </w:r>
      <w:r>
        <w:fldChar w:fldCharType="end"/>
      </w:r>
    </w:p>
    <w:p w14:paraId="0952AC04">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"_Toc66442948" </w:instrText>
      </w:r>
      <w:r>
        <w:fldChar w:fldCharType="separate"/>
      </w:r>
      <w:r>
        <w:rPr>
          <w:rStyle w:val="35"/>
          <w:rFonts w:eastAsia="方正小标宋简体"/>
          <w:color w:val="auto"/>
        </w:rPr>
        <w:t>第二章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总体思路与目标</w:t>
      </w:r>
      <w:r>
        <w:tab/>
      </w:r>
      <w:r>
        <w:fldChar w:fldCharType="begin"/>
      </w:r>
      <w:r>
        <w:instrText xml:space="preserve"> PAGEREF _Toc66442948 \h </w:instrText>
      </w:r>
      <w:r>
        <w:fldChar w:fldCharType="separate"/>
      </w:r>
      <w:r>
        <w:t>10</w:t>
      </w:r>
      <w:r>
        <w:fldChar w:fldCharType="end"/>
      </w:r>
      <w:r>
        <w:fldChar w:fldCharType="end"/>
      </w:r>
    </w:p>
    <w:p w14:paraId="30DD42B9">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"_Toc66442949" </w:instrText>
      </w:r>
      <w:r>
        <w:fldChar w:fldCharType="separate"/>
      </w:r>
      <w:r>
        <w:rPr>
          <w:rStyle w:val="35"/>
          <w:rFonts w:ascii="Times New Roman" w:hAnsi="Times New Roman" w:cs="宋体"/>
          <w:color w:val="auto"/>
        </w:rPr>
        <w:t>第一节 指导思想</w:t>
      </w:r>
      <w:r>
        <w:tab/>
      </w:r>
      <w:r>
        <w:fldChar w:fldCharType="begin"/>
      </w:r>
      <w:r>
        <w:instrText xml:space="preserve"> PAGEREF _Toc66442949 \h </w:instrText>
      </w:r>
      <w:r>
        <w:fldChar w:fldCharType="separate"/>
      </w:r>
      <w:r>
        <w:t>10</w:t>
      </w:r>
      <w:r>
        <w:fldChar w:fldCharType="end"/>
      </w:r>
      <w:r>
        <w:fldChar w:fldCharType="end"/>
      </w:r>
    </w:p>
    <w:p w14:paraId="0F8B597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"_Toc66442950" </w:instrText>
      </w:r>
      <w:r>
        <w:fldChar w:fldCharType="separate"/>
      </w:r>
      <w:r>
        <w:rPr>
          <w:rStyle w:val="35"/>
          <w:rFonts w:ascii="Times New Roman" w:hAnsi="Times New Roman" w:cs="宋体"/>
          <w:color w:val="auto"/>
        </w:rPr>
        <w:t>第二节 基本原则</w:t>
      </w:r>
      <w:r>
        <w:tab/>
      </w:r>
      <w:r>
        <w:fldChar w:fldCharType="begin"/>
      </w:r>
      <w:r>
        <w:instrText xml:space="preserve"> PAGEREF _Toc66442950 \h </w:instrText>
      </w:r>
      <w:r>
        <w:fldChar w:fldCharType="separate"/>
      </w:r>
      <w:r>
        <w:t>11</w:t>
      </w:r>
      <w:r>
        <w:fldChar w:fldCharType="end"/>
      </w:r>
      <w:r>
        <w:fldChar w:fldCharType="end"/>
      </w:r>
    </w:p>
    <w:p w14:paraId="2973C9C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"_Toc66442951" </w:instrText>
      </w:r>
      <w:r>
        <w:fldChar w:fldCharType="separate"/>
      </w:r>
      <w:r>
        <w:rPr>
          <w:rStyle w:val="35"/>
          <w:rFonts w:ascii="Times New Roman" w:hAnsi="Times New Roman" w:cs="宋体"/>
          <w:color w:val="auto"/>
        </w:rPr>
        <w:t>第三节 目标定位</w:t>
      </w:r>
      <w:r>
        <w:tab/>
      </w:r>
      <w:r>
        <w:fldChar w:fldCharType="begin"/>
      </w:r>
      <w:r>
        <w:instrText xml:space="preserve"> PAGEREF _Toc66442951 \h </w:instrText>
      </w:r>
      <w:r>
        <w:fldChar w:fldCharType="separate"/>
      </w:r>
      <w:r>
        <w:t>12</w:t>
      </w:r>
      <w:r>
        <w:fldChar w:fldCharType="end"/>
      </w:r>
      <w:r>
        <w:fldChar w:fldCharType="end"/>
      </w:r>
    </w:p>
    <w:p w14:paraId="650A0C3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"_Toc66442952" </w:instrText>
      </w:r>
      <w:r>
        <w:fldChar w:fldCharType="separate"/>
      </w:r>
      <w:r>
        <w:rPr>
          <w:rStyle w:val="35"/>
          <w:rFonts w:ascii="Times New Roman" w:hAnsi="Times New Roman" w:cs="宋体"/>
          <w:color w:val="auto"/>
        </w:rPr>
        <w:t>第四节 远景展望</w:t>
      </w:r>
      <w:r>
        <w:tab/>
      </w:r>
      <w:r>
        <w:fldChar w:fldCharType="begin"/>
      </w:r>
      <w:r>
        <w:instrText xml:space="preserve"> PAGEREF _Toc66442952 \h </w:instrText>
      </w:r>
      <w:r>
        <w:fldChar w:fldCharType="separate"/>
      </w:r>
      <w:r>
        <w:t>16</w:t>
      </w:r>
      <w:r>
        <w:fldChar w:fldCharType="end"/>
      </w:r>
      <w:r>
        <w:fldChar w:fldCharType="end"/>
      </w:r>
    </w:p>
    <w:p w14:paraId="06D1F21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"_Toc66442953" </w:instrText>
      </w:r>
      <w:r>
        <w:fldChar w:fldCharType="separate"/>
      </w:r>
      <w:r>
        <w:rPr>
          <w:rStyle w:val="35"/>
          <w:rFonts w:eastAsia="方正小标宋简体"/>
          <w:color w:val="auto"/>
        </w:rPr>
        <w:t>第三章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优化国土空间布局，构筑城市发展新格局</w:t>
      </w:r>
      <w:r>
        <w:tab/>
      </w:r>
      <w:r>
        <w:fldChar w:fldCharType="begin"/>
      </w:r>
      <w:r>
        <w:instrText xml:space="preserve"> PAGEREF _Toc66442953 \h </w:instrText>
      </w:r>
      <w:r>
        <w:fldChar w:fldCharType="separate"/>
      </w:r>
      <w:r>
        <w:t>18</w:t>
      </w:r>
      <w:r>
        <w:fldChar w:fldCharType="end"/>
      </w:r>
      <w:r>
        <w:fldChar w:fldCharType="end"/>
      </w:r>
    </w:p>
    <w:p w14:paraId="2283AAC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"_Toc66442954" </w:instrText>
      </w:r>
      <w:r>
        <w:fldChar w:fldCharType="separate"/>
      </w:r>
      <w:r>
        <w:rPr>
          <w:rStyle w:val="35"/>
          <w:rFonts w:ascii="Times New Roman" w:hAnsi="Times New Roman" w:cs="宋体"/>
          <w:color w:val="auto"/>
        </w:rPr>
        <w:t>第一节 总体布局</w:t>
      </w:r>
      <w:r>
        <w:tab/>
      </w:r>
      <w:r>
        <w:fldChar w:fldCharType="begin"/>
      </w:r>
      <w:r>
        <w:instrText xml:space="preserve"> PAGEREF _Toc66442954 \h </w:instrText>
      </w:r>
      <w:r>
        <w:fldChar w:fldCharType="separate"/>
      </w:r>
      <w:r>
        <w:t>18</w:t>
      </w:r>
      <w:r>
        <w:fldChar w:fldCharType="end"/>
      </w:r>
      <w:r>
        <w:fldChar w:fldCharType="end"/>
      </w:r>
    </w:p>
    <w:p w14:paraId="4A5480F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"_Toc66442955" </w:instrText>
      </w:r>
      <w:r>
        <w:fldChar w:fldCharType="separate"/>
      </w:r>
      <w:r>
        <w:rPr>
          <w:rStyle w:val="35"/>
          <w:rFonts w:ascii="Times New Roman" w:hAnsi="Times New Roman" w:cs="宋体"/>
          <w:color w:val="auto"/>
        </w:rPr>
        <w:t>第二节 空间策略</w:t>
      </w:r>
      <w:r>
        <w:tab/>
      </w:r>
      <w:r>
        <w:fldChar w:fldCharType="begin"/>
      </w:r>
      <w:r>
        <w:instrText xml:space="preserve"> PAGEREF _Toc66442955 \h </w:instrText>
      </w:r>
      <w:r>
        <w:fldChar w:fldCharType="separate"/>
      </w:r>
      <w:r>
        <w:t>19</w:t>
      </w:r>
      <w:r>
        <w:fldChar w:fldCharType="end"/>
      </w:r>
      <w:r>
        <w:fldChar w:fldCharType="end"/>
      </w:r>
    </w:p>
    <w:p w14:paraId="3AD78FF3">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"_Toc66442956" </w:instrText>
      </w:r>
      <w:r>
        <w:fldChar w:fldCharType="separate"/>
      </w:r>
      <w:r>
        <w:rPr>
          <w:rStyle w:val="35"/>
          <w:rFonts w:eastAsia="方正小标宋简体"/>
          <w:color w:val="auto"/>
        </w:rPr>
        <w:t>第四章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做强做优实体经济，打造先进制造业新高地</w:t>
      </w:r>
      <w:r>
        <w:tab/>
      </w:r>
      <w:r>
        <w:fldChar w:fldCharType="begin"/>
      </w:r>
      <w:r>
        <w:instrText xml:space="preserve"> PAGEREF _Toc66442956 \h </w:instrText>
      </w:r>
      <w:r>
        <w:fldChar w:fldCharType="separate"/>
      </w:r>
      <w:r>
        <w:t>22</w:t>
      </w:r>
      <w:r>
        <w:fldChar w:fldCharType="end"/>
      </w:r>
      <w:r>
        <w:fldChar w:fldCharType="end"/>
      </w:r>
    </w:p>
    <w:p w14:paraId="59F08F4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"_Toc66442957" </w:instrText>
      </w:r>
      <w:r>
        <w:fldChar w:fldCharType="separate"/>
      </w:r>
      <w:r>
        <w:rPr>
          <w:rStyle w:val="35"/>
          <w:rFonts w:ascii="Times New Roman" w:hAnsi="Times New Roman" w:cs="宋体"/>
          <w:color w:val="auto"/>
        </w:rPr>
        <w:t>第一节 壮大传统优势工业</w:t>
      </w:r>
      <w:r>
        <w:tab/>
      </w:r>
      <w:r>
        <w:fldChar w:fldCharType="begin"/>
      </w:r>
      <w:r>
        <w:instrText xml:space="preserve"> PAGEREF _Toc66442957 \h </w:instrText>
      </w:r>
      <w:r>
        <w:fldChar w:fldCharType="separate"/>
      </w:r>
      <w:r>
        <w:t>22</w:t>
      </w:r>
      <w:r>
        <w:fldChar w:fldCharType="end"/>
      </w:r>
      <w:r>
        <w:fldChar w:fldCharType="end"/>
      </w:r>
    </w:p>
    <w:p w14:paraId="40CDBC7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"_Toc66442958" </w:instrText>
      </w:r>
      <w:r>
        <w:fldChar w:fldCharType="separate"/>
      </w:r>
      <w:r>
        <w:rPr>
          <w:rStyle w:val="35"/>
          <w:rFonts w:ascii="Times New Roman" w:hAnsi="Times New Roman" w:cs="宋体"/>
          <w:color w:val="auto"/>
        </w:rPr>
        <w:t>第二节 积极培育战略性新兴产业</w:t>
      </w:r>
      <w:r>
        <w:tab/>
      </w:r>
      <w:r>
        <w:fldChar w:fldCharType="begin"/>
      </w:r>
      <w:r>
        <w:instrText xml:space="preserve"> PAGEREF _Toc66442958 \h </w:instrText>
      </w:r>
      <w:r>
        <w:fldChar w:fldCharType="separate"/>
      </w:r>
      <w:r>
        <w:t>26</w:t>
      </w:r>
      <w:r>
        <w:fldChar w:fldCharType="end"/>
      </w:r>
      <w:r>
        <w:fldChar w:fldCharType="end"/>
      </w:r>
    </w:p>
    <w:p w14:paraId="1E56B94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"_Toc66442959" </w:instrText>
      </w:r>
      <w:r>
        <w:fldChar w:fldCharType="separate"/>
      </w:r>
      <w:r>
        <w:rPr>
          <w:rStyle w:val="35"/>
          <w:rFonts w:ascii="Times New Roman" w:hAnsi="Times New Roman" w:cs="宋体"/>
          <w:color w:val="auto"/>
        </w:rPr>
        <w:t>第三节 推进产业园区化承载</w:t>
      </w:r>
      <w:r>
        <w:tab/>
      </w:r>
      <w:r>
        <w:fldChar w:fldCharType="begin"/>
      </w:r>
      <w:r>
        <w:instrText xml:space="preserve"> PAGEREF _Toc66442959 \h </w:instrText>
      </w:r>
      <w:r>
        <w:fldChar w:fldCharType="separate"/>
      </w:r>
      <w:r>
        <w:t>29</w:t>
      </w:r>
      <w:r>
        <w:fldChar w:fldCharType="end"/>
      </w:r>
      <w:r>
        <w:fldChar w:fldCharType="end"/>
      </w:r>
    </w:p>
    <w:p w14:paraId="5E955AA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"_Toc66442960" </w:instrText>
      </w:r>
      <w:r>
        <w:fldChar w:fldCharType="separate"/>
      </w:r>
      <w:r>
        <w:rPr>
          <w:rStyle w:val="35"/>
          <w:rFonts w:ascii="Times New Roman" w:hAnsi="Times New Roman" w:cs="宋体"/>
          <w:color w:val="auto"/>
        </w:rPr>
        <w:t>第四节 加快产业基础再造和链条提升</w:t>
      </w:r>
      <w:r>
        <w:tab/>
      </w:r>
      <w:r>
        <w:fldChar w:fldCharType="begin"/>
      </w:r>
      <w:r>
        <w:instrText xml:space="preserve"> PAGEREF _Toc66442960 \h </w:instrText>
      </w:r>
      <w:r>
        <w:fldChar w:fldCharType="separate"/>
      </w:r>
      <w:r>
        <w:t>31</w:t>
      </w:r>
      <w:r>
        <w:fldChar w:fldCharType="end"/>
      </w:r>
      <w:r>
        <w:fldChar w:fldCharType="end"/>
      </w:r>
    </w:p>
    <w:p w14:paraId="0F76690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"_Toc66442961" </w:instrText>
      </w:r>
      <w:r>
        <w:fldChar w:fldCharType="separate"/>
      </w:r>
      <w:r>
        <w:rPr>
          <w:rStyle w:val="35"/>
          <w:rFonts w:eastAsia="方正小标宋简体"/>
          <w:color w:val="auto"/>
        </w:rPr>
        <w:t>第五章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全面提升国际化水平，构建现代服务业新体系</w:t>
      </w:r>
      <w:r>
        <w:tab/>
      </w:r>
      <w:r>
        <w:fldChar w:fldCharType="begin"/>
      </w:r>
      <w:r>
        <w:instrText xml:space="preserve"> PAGEREF _Toc66442961 \h </w:instrText>
      </w:r>
      <w:r>
        <w:fldChar w:fldCharType="separate"/>
      </w:r>
      <w:r>
        <w:t>33</w:t>
      </w:r>
      <w:r>
        <w:fldChar w:fldCharType="end"/>
      </w:r>
      <w:r>
        <w:fldChar w:fldCharType="end"/>
      </w:r>
    </w:p>
    <w:p w14:paraId="498DE5C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"_Toc66442962" </w:instrText>
      </w:r>
      <w:r>
        <w:fldChar w:fldCharType="separate"/>
      </w:r>
      <w:r>
        <w:rPr>
          <w:rStyle w:val="35"/>
          <w:rFonts w:ascii="Times New Roman" w:hAnsi="Times New Roman" w:cs="宋体"/>
          <w:color w:val="auto"/>
        </w:rPr>
        <w:t>第一节 全面提升生活性服务业</w:t>
      </w:r>
      <w:r>
        <w:tab/>
      </w:r>
      <w:r>
        <w:fldChar w:fldCharType="begin"/>
      </w:r>
      <w:r>
        <w:instrText xml:space="preserve"> PAGEREF _Toc66442962 \h </w:instrText>
      </w:r>
      <w:r>
        <w:fldChar w:fldCharType="separate"/>
      </w:r>
      <w:r>
        <w:t>33</w:t>
      </w:r>
      <w:r>
        <w:fldChar w:fldCharType="end"/>
      </w:r>
      <w:r>
        <w:fldChar w:fldCharType="end"/>
      </w:r>
    </w:p>
    <w:p w14:paraId="3F0CC7E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"_Toc66442963" </w:instrText>
      </w:r>
      <w:r>
        <w:fldChar w:fldCharType="separate"/>
      </w:r>
      <w:r>
        <w:rPr>
          <w:rStyle w:val="35"/>
          <w:rFonts w:ascii="Times New Roman" w:hAnsi="Times New Roman" w:cs="宋体"/>
          <w:color w:val="auto"/>
        </w:rPr>
        <w:t>第二节 大力发展生产性服务业</w:t>
      </w:r>
      <w:r>
        <w:tab/>
      </w:r>
      <w:r>
        <w:fldChar w:fldCharType="begin"/>
      </w:r>
      <w:r>
        <w:instrText xml:space="preserve"> PAGEREF _Toc66442963 \h </w:instrText>
      </w:r>
      <w:r>
        <w:fldChar w:fldCharType="separate"/>
      </w:r>
      <w:r>
        <w:t>35</w:t>
      </w:r>
      <w:r>
        <w:fldChar w:fldCharType="end"/>
      </w:r>
      <w:r>
        <w:fldChar w:fldCharType="end"/>
      </w:r>
    </w:p>
    <w:p w14:paraId="7C0C72E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"_Toc66442964" </w:instrText>
      </w:r>
      <w:r>
        <w:fldChar w:fldCharType="separate"/>
      </w:r>
      <w:r>
        <w:rPr>
          <w:rStyle w:val="35"/>
          <w:rFonts w:ascii="Times New Roman" w:hAnsi="Times New Roman" w:cs="宋体"/>
          <w:color w:val="auto"/>
        </w:rPr>
        <w:t>第三节 大力发展楼宇经济</w:t>
      </w:r>
      <w:r>
        <w:tab/>
      </w:r>
      <w:r>
        <w:fldChar w:fldCharType="begin"/>
      </w:r>
      <w:r>
        <w:instrText xml:space="preserve"> PAGEREF _Toc66442964 \h </w:instrText>
      </w:r>
      <w:r>
        <w:fldChar w:fldCharType="separate"/>
      </w:r>
      <w:r>
        <w:t>37</w:t>
      </w:r>
      <w:r>
        <w:fldChar w:fldCharType="end"/>
      </w:r>
      <w:r>
        <w:fldChar w:fldCharType="end"/>
      </w:r>
    </w:p>
    <w:p w14:paraId="706215F3">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"_Toc66442965" </w:instrText>
      </w:r>
      <w:r>
        <w:fldChar w:fldCharType="separate"/>
      </w:r>
      <w:r>
        <w:rPr>
          <w:rStyle w:val="35"/>
          <w:rFonts w:eastAsia="方正小标宋简体"/>
          <w:color w:val="auto"/>
        </w:rPr>
        <w:t>第六章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大力发展全域旅游，打造文旅融合新品牌</w:t>
      </w:r>
      <w:r>
        <w:tab/>
      </w:r>
      <w:r>
        <w:fldChar w:fldCharType="begin"/>
      </w:r>
      <w:r>
        <w:instrText xml:space="preserve"> PAGEREF _Toc66442965 \h </w:instrText>
      </w:r>
      <w:r>
        <w:fldChar w:fldCharType="separate"/>
      </w:r>
      <w:r>
        <w:t>38</w:t>
      </w:r>
      <w:r>
        <w:fldChar w:fldCharType="end"/>
      </w:r>
      <w:r>
        <w:fldChar w:fldCharType="end"/>
      </w:r>
    </w:p>
    <w:p w14:paraId="1E89B70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"_Toc66442966" </w:instrText>
      </w:r>
      <w:r>
        <w:fldChar w:fldCharType="separate"/>
      </w:r>
      <w:r>
        <w:rPr>
          <w:rStyle w:val="35"/>
          <w:rFonts w:ascii="Times New Roman" w:hAnsi="Times New Roman" w:cs="宋体"/>
          <w:color w:val="auto"/>
        </w:rPr>
        <w:t>第一节 精准布局旅游发展空间</w:t>
      </w:r>
      <w:r>
        <w:tab/>
      </w:r>
      <w:r>
        <w:fldChar w:fldCharType="begin"/>
      </w:r>
      <w:r>
        <w:instrText xml:space="preserve"> PAGEREF _Toc66442966 \h </w:instrText>
      </w:r>
      <w:r>
        <w:fldChar w:fldCharType="separate"/>
      </w:r>
      <w:r>
        <w:t>38</w:t>
      </w:r>
      <w:r>
        <w:fldChar w:fldCharType="end"/>
      </w:r>
      <w:r>
        <w:fldChar w:fldCharType="end"/>
      </w:r>
    </w:p>
    <w:p w14:paraId="5B92F9B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"_Toc66442967" </w:instrText>
      </w:r>
      <w:r>
        <w:fldChar w:fldCharType="separate"/>
      </w:r>
      <w:r>
        <w:rPr>
          <w:rStyle w:val="35"/>
          <w:rFonts w:ascii="Times New Roman" w:hAnsi="Times New Roman" w:cs="宋体"/>
          <w:color w:val="auto"/>
        </w:rPr>
        <w:t>第二节 打造旅游精品项目</w:t>
      </w:r>
      <w:r>
        <w:tab/>
      </w:r>
      <w:r>
        <w:fldChar w:fldCharType="begin"/>
      </w:r>
      <w:r>
        <w:instrText xml:space="preserve"> PAGEREF _Toc66442967 \h </w:instrText>
      </w:r>
      <w:r>
        <w:fldChar w:fldCharType="separate"/>
      </w:r>
      <w:r>
        <w:t>39</w:t>
      </w:r>
      <w:r>
        <w:fldChar w:fldCharType="end"/>
      </w:r>
      <w:r>
        <w:fldChar w:fldCharType="end"/>
      </w:r>
    </w:p>
    <w:p w14:paraId="5DC1525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"_Toc66442968" </w:instrText>
      </w:r>
      <w:r>
        <w:fldChar w:fldCharType="separate"/>
      </w:r>
      <w:r>
        <w:rPr>
          <w:rStyle w:val="35"/>
          <w:rFonts w:ascii="Times New Roman" w:hAnsi="Times New Roman" w:cs="宋体"/>
          <w:color w:val="auto"/>
        </w:rPr>
        <w:t>第三节 加快发展文化产业</w:t>
      </w:r>
      <w:r>
        <w:tab/>
      </w:r>
      <w:r>
        <w:fldChar w:fldCharType="begin"/>
      </w:r>
      <w:r>
        <w:instrText xml:space="preserve"> PAGEREF _Toc66442968 \h </w:instrText>
      </w:r>
      <w:r>
        <w:fldChar w:fldCharType="separate"/>
      </w:r>
      <w:r>
        <w:t>41</w:t>
      </w:r>
      <w:r>
        <w:fldChar w:fldCharType="end"/>
      </w:r>
      <w:r>
        <w:fldChar w:fldCharType="end"/>
      </w:r>
    </w:p>
    <w:p w14:paraId="1E5BB20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"_Toc66442969" </w:instrText>
      </w:r>
      <w:r>
        <w:fldChar w:fldCharType="separate"/>
      </w:r>
      <w:r>
        <w:rPr>
          <w:rStyle w:val="35"/>
          <w:rFonts w:ascii="Times New Roman" w:hAnsi="Times New Roman" w:cs="宋体"/>
          <w:color w:val="auto"/>
        </w:rPr>
        <w:t>第四节 繁荣发展文化事业</w:t>
      </w:r>
      <w:r>
        <w:tab/>
      </w:r>
      <w:r>
        <w:fldChar w:fldCharType="begin"/>
      </w:r>
      <w:r>
        <w:instrText xml:space="preserve"> PAGEREF _Toc66442969 \h </w:instrText>
      </w:r>
      <w:r>
        <w:fldChar w:fldCharType="separate"/>
      </w:r>
      <w:r>
        <w:t>43</w:t>
      </w:r>
      <w:r>
        <w:fldChar w:fldCharType="end"/>
      </w:r>
      <w:r>
        <w:fldChar w:fldCharType="end"/>
      </w:r>
    </w:p>
    <w:p w14:paraId="04448AB2">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"_Toc66442970" </w:instrText>
      </w:r>
      <w:r>
        <w:fldChar w:fldCharType="separate"/>
      </w:r>
      <w:r>
        <w:rPr>
          <w:rStyle w:val="35"/>
          <w:rFonts w:eastAsia="方正小标宋简体"/>
          <w:color w:val="auto"/>
        </w:rPr>
        <w:t>第七章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建设宜居宜业主城区，打造高品质生活新样板</w:t>
      </w:r>
      <w:r>
        <w:tab/>
      </w:r>
      <w:r>
        <w:fldChar w:fldCharType="begin"/>
      </w:r>
      <w:r>
        <w:instrText xml:space="preserve"> PAGEREF _Toc66442970 \h </w:instrText>
      </w:r>
      <w:r>
        <w:fldChar w:fldCharType="separate"/>
      </w:r>
      <w:r>
        <w:t>46</w:t>
      </w:r>
      <w:r>
        <w:fldChar w:fldCharType="end"/>
      </w:r>
      <w:r>
        <w:fldChar w:fldCharType="end"/>
      </w:r>
    </w:p>
    <w:p w14:paraId="3C0E08E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"_Toc66442971" </w:instrText>
      </w:r>
      <w:r>
        <w:fldChar w:fldCharType="separate"/>
      </w:r>
      <w:r>
        <w:rPr>
          <w:rStyle w:val="35"/>
          <w:rFonts w:ascii="Times New Roman" w:hAnsi="Times New Roman" w:cs="宋体"/>
          <w:color w:val="auto"/>
        </w:rPr>
        <w:t>第一节 提升城市服务功能</w:t>
      </w:r>
      <w:r>
        <w:tab/>
      </w:r>
      <w:r>
        <w:fldChar w:fldCharType="begin"/>
      </w:r>
      <w:r>
        <w:instrText xml:space="preserve"> PAGEREF _Toc66442971 \h </w:instrText>
      </w:r>
      <w:r>
        <w:fldChar w:fldCharType="separate"/>
      </w:r>
      <w:r>
        <w:t>46</w:t>
      </w:r>
      <w:r>
        <w:fldChar w:fldCharType="end"/>
      </w:r>
      <w:r>
        <w:fldChar w:fldCharType="end"/>
      </w:r>
    </w:p>
    <w:p w14:paraId="6A0725D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"_Toc66442972" </w:instrText>
      </w:r>
      <w:r>
        <w:fldChar w:fldCharType="separate"/>
      </w:r>
      <w:r>
        <w:rPr>
          <w:rStyle w:val="35"/>
          <w:rFonts w:ascii="Times New Roman" w:hAnsi="Times New Roman" w:cs="宋体"/>
          <w:color w:val="auto"/>
        </w:rPr>
        <w:t>第二节 提升宜居环境品质</w:t>
      </w:r>
      <w:r>
        <w:tab/>
      </w:r>
      <w:r>
        <w:fldChar w:fldCharType="begin"/>
      </w:r>
      <w:r>
        <w:instrText xml:space="preserve"> PAGEREF _Toc66442972 \h </w:instrText>
      </w:r>
      <w:r>
        <w:fldChar w:fldCharType="separate"/>
      </w:r>
      <w:r>
        <w:t>46</w:t>
      </w:r>
      <w:r>
        <w:fldChar w:fldCharType="end"/>
      </w:r>
      <w:r>
        <w:fldChar w:fldCharType="end"/>
      </w:r>
    </w:p>
    <w:p w14:paraId="7F6CA30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"_Toc66442973" </w:instrText>
      </w:r>
      <w:r>
        <w:fldChar w:fldCharType="separate"/>
      </w:r>
      <w:r>
        <w:rPr>
          <w:rStyle w:val="35"/>
          <w:rFonts w:ascii="Times New Roman" w:hAnsi="Times New Roman" w:cs="宋体"/>
          <w:color w:val="auto"/>
        </w:rPr>
        <w:t>第三节 提高城市综合承载力</w:t>
      </w:r>
      <w:r>
        <w:tab/>
      </w:r>
      <w:r>
        <w:fldChar w:fldCharType="begin"/>
      </w:r>
      <w:r>
        <w:instrText xml:space="preserve"> PAGEREF _Toc66442973 \h </w:instrText>
      </w:r>
      <w:r>
        <w:fldChar w:fldCharType="separate"/>
      </w:r>
      <w:r>
        <w:t>47</w:t>
      </w:r>
      <w:r>
        <w:fldChar w:fldCharType="end"/>
      </w:r>
      <w:r>
        <w:fldChar w:fldCharType="end"/>
      </w:r>
    </w:p>
    <w:p w14:paraId="161DF3C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"_Toc66442974" </w:instrText>
      </w:r>
      <w:r>
        <w:fldChar w:fldCharType="separate"/>
      </w:r>
      <w:r>
        <w:rPr>
          <w:rStyle w:val="35"/>
          <w:rFonts w:ascii="Times New Roman" w:hAnsi="Times New Roman" w:cs="宋体"/>
          <w:color w:val="auto"/>
        </w:rPr>
        <w:t>第四节 高标准打造样板工程</w:t>
      </w:r>
      <w:r>
        <w:tab/>
      </w:r>
      <w:r>
        <w:fldChar w:fldCharType="begin"/>
      </w:r>
      <w:r>
        <w:instrText xml:space="preserve"> PAGEREF _Toc66442974 \h </w:instrText>
      </w:r>
      <w:r>
        <w:fldChar w:fldCharType="separate"/>
      </w:r>
      <w:r>
        <w:t>48</w:t>
      </w:r>
      <w:r>
        <w:fldChar w:fldCharType="end"/>
      </w:r>
      <w:r>
        <w:fldChar w:fldCharType="end"/>
      </w:r>
    </w:p>
    <w:p w14:paraId="7462DA9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"_Toc66442975" </w:instrText>
      </w:r>
      <w:r>
        <w:fldChar w:fldCharType="separate"/>
      </w:r>
      <w:r>
        <w:rPr>
          <w:rStyle w:val="35"/>
          <w:rFonts w:eastAsia="方正小标宋简体"/>
          <w:color w:val="auto"/>
        </w:rPr>
        <w:t>第八章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加快蟠龙高新区建设，打造发展新引擎</w:t>
      </w:r>
      <w:r>
        <w:tab/>
      </w:r>
      <w:r>
        <w:fldChar w:fldCharType="begin"/>
      </w:r>
      <w:r>
        <w:instrText xml:space="preserve"> PAGEREF _Toc66442975 \h </w:instrText>
      </w:r>
      <w:r>
        <w:fldChar w:fldCharType="separate"/>
      </w:r>
      <w:r>
        <w:t>51</w:t>
      </w:r>
      <w:r>
        <w:fldChar w:fldCharType="end"/>
      </w:r>
      <w:r>
        <w:fldChar w:fldCharType="end"/>
      </w:r>
    </w:p>
    <w:p w14:paraId="62E9C2D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"_Toc66442976" </w:instrText>
      </w:r>
      <w:r>
        <w:fldChar w:fldCharType="separate"/>
      </w:r>
      <w:r>
        <w:rPr>
          <w:rStyle w:val="35"/>
          <w:rFonts w:ascii="Times New Roman" w:hAnsi="Times New Roman" w:cs="宋体"/>
          <w:color w:val="auto"/>
        </w:rPr>
        <w:t>第一节 实施创新驱动战略</w:t>
      </w:r>
      <w:r>
        <w:tab/>
      </w:r>
      <w:r>
        <w:fldChar w:fldCharType="begin"/>
      </w:r>
      <w:r>
        <w:instrText xml:space="preserve"> PAGEREF _Toc66442976 \h </w:instrText>
      </w:r>
      <w:r>
        <w:fldChar w:fldCharType="separate"/>
      </w:r>
      <w:r>
        <w:t>51</w:t>
      </w:r>
      <w:r>
        <w:fldChar w:fldCharType="end"/>
      </w:r>
      <w:r>
        <w:fldChar w:fldCharType="end"/>
      </w:r>
    </w:p>
    <w:p w14:paraId="286B9A7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"_Toc66442977" </w:instrText>
      </w:r>
      <w:r>
        <w:fldChar w:fldCharType="separate"/>
      </w:r>
      <w:r>
        <w:rPr>
          <w:rStyle w:val="35"/>
          <w:rFonts w:ascii="Times New Roman" w:hAnsi="Times New Roman" w:cs="宋体"/>
          <w:color w:val="auto"/>
        </w:rPr>
        <w:t>第二节 推动产业高质量发展</w:t>
      </w:r>
      <w:r>
        <w:tab/>
      </w:r>
      <w:r>
        <w:fldChar w:fldCharType="begin"/>
      </w:r>
      <w:r>
        <w:instrText xml:space="preserve"> PAGEREF _Toc66442977 \h </w:instrText>
      </w:r>
      <w:r>
        <w:fldChar w:fldCharType="separate"/>
      </w:r>
      <w:r>
        <w:t>52</w:t>
      </w:r>
      <w:r>
        <w:fldChar w:fldCharType="end"/>
      </w:r>
      <w:r>
        <w:fldChar w:fldCharType="end"/>
      </w:r>
    </w:p>
    <w:p w14:paraId="736EE53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"_Toc66442978" </w:instrText>
      </w:r>
      <w:r>
        <w:fldChar w:fldCharType="separate"/>
      </w:r>
      <w:r>
        <w:rPr>
          <w:rStyle w:val="35"/>
          <w:rFonts w:ascii="Times New Roman" w:hAnsi="Times New Roman" w:cs="宋体"/>
          <w:color w:val="auto"/>
        </w:rPr>
        <w:t>第三节 打通对外交通链接</w:t>
      </w:r>
      <w:r>
        <w:tab/>
      </w:r>
      <w:r>
        <w:fldChar w:fldCharType="begin"/>
      </w:r>
      <w:r>
        <w:instrText xml:space="preserve"> PAGEREF _Toc66442978 \h </w:instrText>
      </w:r>
      <w:r>
        <w:fldChar w:fldCharType="separate"/>
      </w:r>
      <w:r>
        <w:t>55</w:t>
      </w:r>
      <w:r>
        <w:fldChar w:fldCharType="end"/>
      </w:r>
      <w:r>
        <w:fldChar w:fldCharType="end"/>
      </w:r>
    </w:p>
    <w:p w14:paraId="704DD8B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"_Toc66442979" </w:instrText>
      </w:r>
      <w:r>
        <w:fldChar w:fldCharType="separate"/>
      </w:r>
      <w:r>
        <w:rPr>
          <w:rStyle w:val="35"/>
          <w:rFonts w:ascii="Times New Roman" w:hAnsi="Times New Roman" w:cs="宋体"/>
          <w:color w:val="auto"/>
        </w:rPr>
        <w:t>第四节 着力提升城乡新品质</w:t>
      </w:r>
      <w:r>
        <w:tab/>
      </w:r>
      <w:r>
        <w:fldChar w:fldCharType="begin"/>
      </w:r>
      <w:r>
        <w:instrText xml:space="preserve"> PAGEREF _Toc66442979 \h </w:instrText>
      </w:r>
      <w:r>
        <w:fldChar w:fldCharType="separate"/>
      </w:r>
      <w:r>
        <w:t>56</w:t>
      </w:r>
      <w:r>
        <w:fldChar w:fldCharType="end"/>
      </w:r>
      <w:r>
        <w:fldChar w:fldCharType="end"/>
      </w:r>
    </w:p>
    <w:p w14:paraId="5BBC9D8D">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"_Toc66442980" </w:instrText>
      </w:r>
      <w:r>
        <w:fldChar w:fldCharType="separate"/>
      </w:r>
      <w:r>
        <w:rPr>
          <w:rStyle w:val="35"/>
          <w:rFonts w:eastAsia="方正小标宋简体"/>
          <w:color w:val="auto"/>
        </w:rPr>
        <w:t>第九章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全面推进乡村振兴，创造幸福美好新生活</w:t>
      </w:r>
      <w:r>
        <w:tab/>
      </w:r>
      <w:r>
        <w:fldChar w:fldCharType="begin"/>
      </w:r>
      <w:r>
        <w:instrText xml:space="preserve"> PAGEREF _Toc66442980 \h </w:instrText>
      </w:r>
      <w:r>
        <w:fldChar w:fldCharType="separate"/>
      </w:r>
      <w:r>
        <w:t>58</w:t>
      </w:r>
      <w:r>
        <w:fldChar w:fldCharType="end"/>
      </w:r>
      <w:r>
        <w:fldChar w:fldCharType="end"/>
      </w:r>
    </w:p>
    <w:p w14:paraId="6C1C206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"_Toc66442981" </w:instrText>
      </w:r>
      <w:r>
        <w:fldChar w:fldCharType="separate"/>
      </w:r>
      <w:r>
        <w:rPr>
          <w:rStyle w:val="35"/>
          <w:rFonts w:ascii="Times New Roman" w:hAnsi="Times New Roman" w:cs="宋体"/>
          <w:color w:val="auto"/>
        </w:rPr>
        <w:t xml:space="preserve">第一节 </w:t>
      </w:r>
      <w:r>
        <w:rPr>
          <w:rStyle w:val="35"/>
          <w:rFonts w:hint="eastAsia" w:ascii="Times New Roman" w:hAnsi="Times New Roman" w:cs="宋体"/>
          <w:color w:val="auto"/>
          <w:lang w:eastAsia="zh-CN"/>
        </w:rPr>
        <w:t>巩固拓展脱贫攻坚成果</w:t>
      </w:r>
      <w:r>
        <w:tab/>
      </w:r>
      <w:r>
        <w:fldChar w:fldCharType="begin"/>
      </w:r>
      <w:r>
        <w:instrText xml:space="preserve"> PAGEREF _Toc66442981 \h </w:instrText>
      </w:r>
      <w:r>
        <w:fldChar w:fldCharType="separate"/>
      </w:r>
      <w:r>
        <w:t>58</w:t>
      </w:r>
      <w:r>
        <w:fldChar w:fldCharType="end"/>
      </w:r>
      <w:r>
        <w:fldChar w:fldCharType="end"/>
      </w:r>
    </w:p>
    <w:p w14:paraId="146F575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"_Toc66442982" </w:instrText>
      </w:r>
      <w:r>
        <w:fldChar w:fldCharType="separate"/>
      </w:r>
      <w:r>
        <w:rPr>
          <w:rStyle w:val="35"/>
          <w:rFonts w:ascii="Times New Roman" w:hAnsi="Times New Roman" w:cs="宋体"/>
          <w:color w:val="auto"/>
        </w:rPr>
        <w:t>第二节 加快发展现代农业</w:t>
      </w:r>
      <w:r>
        <w:tab/>
      </w:r>
      <w:r>
        <w:fldChar w:fldCharType="begin"/>
      </w:r>
      <w:r>
        <w:instrText xml:space="preserve"> PAGEREF _Toc66442982 \h </w:instrText>
      </w:r>
      <w:r>
        <w:fldChar w:fldCharType="separate"/>
      </w:r>
      <w:r>
        <w:t>59</w:t>
      </w:r>
      <w:r>
        <w:fldChar w:fldCharType="end"/>
      </w:r>
      <w:r>
        <w:fldChar w:fldCharType="end"/>
      </w:r>
    </w:p>
    <w:p w14:paraId="0650C3F2">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"_Toc66442983" </w:instrText>
      </w:r>
      <w:r>
        <w:fldChar w:fldCharType="separate"/>
      </w:r>
      <w:r>
        <w:rPr>
          <w:rStyle w:val="35"/>
          <w:rFonts w:ascii="Times New Roman" w:hAnsi="Times New Roman" w:cs="宋体"/>
          <w:color w:val="auto"/>
        </w:rPr>
        <w:t>第三节 建设美丽宜居新村镇</w:t>
      </w:r>
      <w:r>
        <w:tab/>
      </w:r>
      <w:r>
        <w:fldChar w:fldCharType="begin"/>
      </w:r>
      <w:r>
        <w:instrText xml:space="preserve"> PAGEREF _Toc66442983 \h </w:instrText>
      </w:r>
      <w:r>
        <w:fldChar w:fldCharType="separate"/>
      </w:r>
      <w:r>
        <w:t>61</w:t>
      </w:r>
      <w:r>
        <w:fldChar w:fldCharType="end"/>
      </w:r>
      <w:r>
        <w:fldChar w:fldCharType="end"/>
      </w:r>
    </w:p>
    <w:p w14:paraId="0C48255F">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"_Toc66442984" </w:instrText>
      </w:r>
      <w:r>
        <w:fldChar w:fldCharType="separate"/>
      </w:r>
      <w:r>
        <w:rPr>
          <w:rStyle w:val="35"/>
          <w:rFonts w:ascii="Times New Roman" w:hAnsi="Times New Roman" w:cs="宋体"/>
          <w:color w:val="auto"/>
        </w:rPr>
        <w:t>第四节 推进乡村改革与治理</w:t>
      </w:r>
      <w:r>
        <w:tab/>
      </w:r>
      <w:r>
        <w:fldChar w:fldCharType="begin"/>
      </w:r>
      <w:r>
        <w:instrText xml:space="preserve"> PAGEREF _Toc66442984 \h </w:instrText>
      </w:r>
      <w:r>
        <w:fldChar w:fldCharType="separate"/>
      </w:r>
      <w:r>
        <w:t>63</w:t>
      </w:r>
      <w:r>
        <w:fldChar w:fldCharType="end"/>
      </w:r>
      <w:r>
        <w:fldChar w:fldCharType="end"/>
      </w:r>
    </w:p>
    <w:p w14:paraId="5C2401C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"_Toc66442985" </w:instrText>
      </w:r>
      <w:r>
        <w:fldChar w:fldCharType="separate"/>
      </w:r>
      <w:r>
        <w:rPr>
          <w:rStyle w:val="35"/>
          <w:rFonts w:eastAsia="方正小标宋简体"/>
          <w:color w:val="auto"/>
        </w:rPr>
        <w:t>第十章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完善区域基础设施，构建互联互通新模式</w:t>
      </w:r>
      <w:r>
        <w:tab/>
      </w:r>
      <w:r>
        <w:fldChar w:fldCharType="begin"/>
      </w:r>
      <w:r>
        <w:instrText xml:space="preserve"> PAGEREF _Toc66442985 \h </w:instrText>
      </w:r>
      <w:r>
        <w:fldChar w:fldCharType="separate"/>
      </w:r>
      <w:r>
        <w:t>65</w:t>
      </w:r>
      <w:r>
        <w:fldChar w:fldCharType="end"/>
      </w:r>
      <w:r>
        <w:fldChar w:fldCharType="end"/>
      </w:r>
    </w:p>
    <w:p w14:paraId="70FE3C1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"_Toc66442986" </w:instrText>
      </w:r>
      <w:r>
        <w:fldChar w:fldCharType="separate"/>
      </w:r>
      <w:r>
        <w:rPr>
          <w:rStyle w:val="35"/>
          <w:rFonts w:ascii="Times New Roman" w:hAnsi="Times New Roman" w:cs="宋体"/>
          <w:color w:val="auto"/>
        </w:rPr>
        <w:t>第一节 建设现代综合交通体系</w:t>
      </w:r>
      <w:r>
        <w:tab/>
      </w:r>
      <w:r>
        <w:fldChar w:fldCharType="begin"/>
      </w:r>
      <w:r>
        <w:instrText xml:space="preserve"> PAGEREF _Toc66442986 \h </w:instrText>
      </w:r>
      <w:r>
        <w:fldChar w:fldCharType="separate"/>
      </w:r>
      <w:r>
        <w:t>65</w:t>
      </w:r>
      <w:r>
        <w:fldChar w:fldCharType="end"/>
      </w:r>
      <w:r>
        <w:fldChar w:fldCharType="end"/>
      </w:r>
    </w:p>
    <w:p w14:paraId="3322760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"_Toc66442987" </w:instrText>
      </w:r>
      <w:r>
        <w:fldChar w:fldCharType="separate"/>
      </w:r>
      <w:r>
        <w:rPr>
          <w:rStyle w:val="35"/>
          <w:rFonts w:ascii="Times New Roman" w:hAnsi="Times New Roman" w:cs="宋体"/>
          <w:color w:val="auto"/>
        </w:rPr>
        <w:t>第二节 提升市政配套服务功能</w:t>
      </w:r>
      <w:r>
        <w:tab/>
      </w:r>
      <w:r>
        <w:fldChar w:fldCharType="begin"/>
      </w:r>
      <w:r>
        <w:instrText xml:space="preserve"> PAGEREF _Toc66442987 \h </w:instrText>
      </w:r>
      <w:r>
        <w:fldChar w:fldCharType="separate"/>
      </w:r>
      <w:r>
        <w:t>68</w:t>
      </w:r>
      <w:r>
        <w:fldChar w:fldCharType="end"/>
      </w:r>
      <w:r>
        <w:fldChar w:fldCharType="end"/>
      </w:r>
    </w:p>
    <w:p w14:paraId="430E9CD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"_Toc66442988" </w:instrText>
      </w:r>
      <w:r>
        <w:fldChar w:fldCharType="separate"/>
      </w:r>
      <w:r>
        <w:rPr>
          <w:rStyle w:val="35"/>
          <w:rFonts w:ascii="Times New Roman" w:hAnsi="Times New Roman" w:cs="宋体"/>
          <w:color w:val="auto"/>
        </w:rPr>
        <w:t>第三节 推进新型基础设施建设</w:t>
      </w:r>
      <w:r>
        <w:tab/>
      </w:r>
      <w:r>
        <w:fldChar w:fldCharType="begin"/>
      </w:r>
      <w:r>
        <w:instrText xml:space="preserve"> PAGEREF _Toc66442988 \h </w:instrText>
      </w:r>
      <w:r>
        <w:fldChar w:fldCharType="separate"/>
      </w:r>
      <w:r>
        <w:t>70</w:t>
      </w:r>
      <w:r>
        <w:fldChar w:fldCharType="end"/>
      </w:r>
      <w:r>
        <w:fldChar w:fldCharType="end"/>
      </w:r>
    </w:p>
    <w:p w14:paraId="5257C61D">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"_Toc66442989" </w:instrText>
      </w:r>
      <w:r>
        <w:fldChar w:fldCharType="separate"/>
      </w:r>
      <w:r>
        <w:rPr>
          <w:rStyle w:val="35"/>
          <w:rFonts w:eastAsia="方正小标宋简体"/>
          <w:color w:val="auto"/>
        </w:rPr>
        <w:t>第十一章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加强生态文明建设，谱写绿色发展新篇章</w:t>
      </w:r>
      <w:r>
        <w:tab/>
      </w:r>
      <w:r>
        <w:fldChar w:fldCharType="begin"/>
      </w:r>
      <w:r>
        <w:instrText xml:space="preserve"> PAGEREF _Toc66442989 \h </w:instrText>
      </w:r>
      <w:r>
        <w:fldChar w:fldCharType="separate"/>
      </w:r>
      <w:r>
        <w:t>73</w:t>
      </w:r>
      <w:r>
        <w:fldChar w:fldCharType="end"/>
      </w:r>
      <w:r>
        <w:fldChar w:fldCharType="end"/>
      </w:r>
    </w:p>
    <w:p w14:paraId="066565B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"_Toc66442990" </w:instrText>
      </w:r>
      <w:r>
        <w:fldChar w:fldCharType="separate"/>
      </w:r>
      <w:r>
        <w:rPr>
          <w:rStyle w:val="35"/>
          <w:rFonts w:ascii="Times New Roman" w:hAnsi="Times New Roman" w:cs="宋体"/>
          <w:color w:val="auto"/>
        </w:rPr>
        <w:t>第一节 建立健全绿色生态体系</w:t>
      </w:r>
      <w:r>
        <w:tab/>
      </w:r>
      <w:r>
        <w:fldChar w:fldCharType="begin"/>
      </w:r>
      <w:r>
        <w:instrText xml:space="preserve"> PAGEREF _Toc66442990 \h </w:instrText>
      </w:r>
      <w:r>
        <w:fldChar w:fldCharType="separate"/>
      </w:r>
      <w:r>
        <w:t>73</w:t>
      </w:r>
      <w:r>
        <w:fldChar w:fldCharType="end"/>
      </w:r>
      <w:r>
        <w:fldChar w:fldCharType="end"/>
      </w:r>
    </w:p>
    <w:p w14:paraId="29EA3DAD">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"_Toc66442991" </w:instrText>
      </w:r>
      <w:r>
        <w:fldChar w:fldCharType="separate"/>
      </w:r>
      <w:r>
        <w:rPr>
          <w:rStyle w:val="35"/>
          <w:rFonts w:ascii="Times New Roman" w:hAnsi="Times New Roman" w:cs="宋体"/>
          <w:color w:val="auto"/>
        </w:rPr>
        <w:t>第二节 创建生态文明示范区</w:t>
      </w:r>
      <w:r>
        <w:tab/>
      </w:r>
      <w:r>
        <w:fldChar w:fldCharType="begin"/>
      </w:r>
      <w:r>
        <w:instrText xml:space="preserve"> PAGEREF _Toc66442991 \h </w:instrText>
      </w:r>
      <w:r>
        <w:fldChar w:fldCharType="separate"/>
      </w:r>
      <w:r>
        <w:t>74</w:t>
      </w:r>
      <w:r>
        <w:fldChar w:fldCharType="end"/>
      </w:r>
      <w:r>
        <w:fldChar w:fldCharType="end"/>
      </w:r>
    </w:p>
    <w:p w14:paraId="17CBE1AA">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"_Toc66442992" </w:instrText>
      </w:r>
      <w:r>
        <w:fldChar w:fldCharType="separate"/>
      </w:r>
      <w:r>
        <w:rPr>
          <w:rStyle w:val="35"/>
          <w:rFonts w:ascii="Times New Roman" w:hAnsi="Times New Roman" w:cs="宋体"/>
          <w:color w:val="auto"/>
        </w:rPr>
        <w:t>第三节 持续优化生态环境</w:t>
      </w:r>
      <w:r>
        <w:tab/>
      </w:r>
      <w:r>
        <w:fldChar w:fldCharType="begin"/>
      </w:r>
      <w:r>
        <w:instrText xml:space="preserve"> PAGEREF _Toc66442992 \h </w:instrText>
      </w:r>
      <w:r>
        <w:fldChar w:fldCharType="separate"/>
      </w:r>
      <w:r>
        <w:t>75</w:t>
      </w:r>
      <w:r>
        <w:fldChar w:fldCharType="end"/>
      </w:r>
      <w:r>
        <w:fldChar w:fldCharType="end"/>
      </w:r>
    </w:p>
    <w:p w14:paraId="5F6B911C">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"_Toc66442993" </w:instrText>
      </w:r>
      <w:r>
        <w:fldChar w:fldCharType="separate"/>
      </w:r>
      <w:r>
        <w:rPr>
          <w:rStyle w:val="35"/>
          <w:rFonts w:ascii="Times New Roman" w:hAnsi="Times New Roman" w:cs="宋体"/>
          <w:color w:val="auto"/>
        </w:rPr>
        <w:t>第四节 加强资源集约高效利用</w:t>
      </w:r>
      <w:r>
        <w:tab/>
      </w:r>
      <w:r>
        <w:fldChar w:fldCharType="begin"/>
      </w:r>
      <w:r>
        <w:instrText xml:space="preserve"> PAGEREF _Toc66442993 \h </w:instrText>
      </w:r>
      <w:r>
        <w:fldChar w:fldCharType="separate"/>
      </w:r>
      <w:r>
        <w:t>77</w:t>
      </w:r>
      <w:r>
        <w:fldChar w:fldCharType="end"/>
      </w:r>
      <w:r>
        <w:fldChar w:fldCharType="end"/>
      </w:r>
    </w:p>
    <w:p w14:paraId="57F372CE">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"_Toc66442994" </w:instrText>
      </w:r>
      <w:r>
        <w:fldChar w:fldCharType="separate"/>
      </w:r>
      <w:r>
        <w:rPr>
          <w:rStyle w:val="35"/>
          <w:rFonts w:eastAsia="方正小标宋简体"/>
          <w:color w:val="auto"/>
        </w:rPr>
        <w:t>第十二章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健全公共服务体系，搭建社会保障新网络</w:t>
      </w:r>
      <w:r>
        <w:tab/>
      </w:r>
      <w:r>
        <w:fldChar w:fldCharType="begin"/>
      </w:r>
      <w:r>
        <w:instrText xml:space="preserve"> PAGEREF _Toc66442994 \h </w:instrText>
      </w:r>
      <w:r>
        <w:fldChar w:fldCharType="separate"/>
      </w:r>
      <w:r>
        <w:t>80</w:t>
      </w:r>
      <w:r>
        <w:fldChar w:fldCharType="end"/>
      </w:r>
      <w:r>
        <w:fldChar w:fldCharType="end"/>
      </w:r>
    </w:p>
    <w:p w14:paraId="76B67FCA">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"_Toc66442995" </w:instrText>
      </w:r>
      <w:r>
        <w:fldChar w:fldCharType="separate"/>
      </w:r>
      <w:r>
        <w:rPr>
          <w:rStyle w:val="35"/>
          <w:rFonts w:ascii="Times New Roman" w:hAnsi="Times New Roman" w:cs="宋体"/>
          <w:color w:val="auto"/>
        </w:rPr>
        <w:t>第一节 优先发展教育事业</w:t>
      </w:r>
      <w:r>
        <w:tab/>
      </w:r>
      <w:r>
        <w:fldChar w:fldCharType="begin"/>
      </w:r>
      <w:r>
        <w:instrText xml:space="preserve"> PAGEREF _Toc66442995 \h </w:instrText>
      </w:r>
      <w:r>
        <w:fldChar w:fldCharType="separate"/>
      </w:r>
      <w:r>
        <w:t>80</w:t>
      </w:r>
      <w:r>
        <w:fldChar w:fldCharType="end"/>
      </w:r>
      <w:r>
        <w:fldChar w:fldCharType="end"/>
      </w:r>
    </w:p>
    <w:p w14:paraId="1D683515">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"_Toc66442996" </w:instrText>
      </w:r>
      <w:r>
        <w:fldChar w:fldCharType="separate"/>
      </w:r>
      <w:r>
        <w:rPr>
          <w:rStyle w:val="35"/>
          <w:rFonts w:ascii="Times New Roman" w:hAnsi="Times New Roman" w:cs="宋体"/>
          <w:color w:val="auto"/>
        </w:rPr>
        <w:t>第二节 持续提升全民健康水平</w:t>
      </w:r>
      <w:r>
        <w:tab/>
      </w:r>
      <w:r>
        <w:fldChar w:fldCharType="begin"/>
      </w:r>
      <w:r>
        <w:instrText xml:space="preserve"> PAGEREF _Toc66442996 \h </w:instrText>
      </w:r>
      <w:r>
        <w:fldChar w:fldCharType="separate"/>
      </w:r>
      <w:r>
        <w:t>83</w:t>
      </w:r>
      <w:r>
        <w:fldChar w:fldCharType="end"/>
      </w:r>
      <w:r>
        <w:fldChar w:fldCharType="end"/>
      </w:r>
    </w:p>
    <w:p w14:paraId="28E5EDC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"_Toc66442997" </w:instrText>
      </w:r>
      <w:r>
        <w:fldChar w:fldCharType="separate"/>
      </w:r>
      <w:r>
        <w:rPr>
          <w:rStyle w:val="35"/>
          <w:rFonts w:ascii="Times New Roman" w:hAnsi="Times New Roman" w:cs="宋体"/>
          <w:color w:val="auto"/>
        </w:rPr>
        <w:t>第三节 不断提高社会保障水平</w:t>
      </w:r>
      <w:r>
        <w:tab/>
      </w:r>
      <w:r>
        <w:fldChar w:fldCharType="begin"/>
      </w:r>
      <w:r>
        <w:instrText xml:space="preserve"> PAGEREF _Toc66442997 \h </w:instrText>
      </w:r>
      <w:r>
        <w:fldChar w:fldCharType="separate"/>
      </w:r>
      <w:r>
        <w:t>85</w:t>
      </w:r>
      <w:r>
        <w:fldChar w:fldCharType="end"/>
      </w:r>
      <w:r>
        <w:fldChar w:fldCharType="end"/>
      </w:r>
    </w:p>
    <w:p w14:paraId="2A18F891">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"_Toc66442998" </w:instrText>
      </w:r>
      <w:r>
        <w:fldChar w:fldCharType="separate"/>
      </w:r>
      <w:r>
        <w:rPr>
          <w:rStyle w:val="35"/>
          <w:rFonts w:ascii="Times New Roman" w:hAnsi="Times New Roman" w:cs="宋体"/>
          <w:color w:val="auto"/>
        </w:rPr>
        <w:t>第四节 大力发展体育事业</w:t>
      </w:r>
      <w:r>
        <w:tab/>
      </w:r>
      <w:r>
        <w:fldChar w:fldCharType="begin"/>
      </w:r>
      <w:r>
        <w:instrText xml:space="preserve"> PAGEREF _Toc66442998 \h </w:instrText>
      </w:r>
      <w:r>
        <w:fldChar w:fldCharType="separate"/>
      </w:r>
      <w:r>
        <w:t>86</w:t>
      </w:r>
      <w:r>
        <w:fldChar w:fldCharType="end"/>
      </w:r>
      <w:r>
        <w:fldChar w:fldCharType="end"/>
      </w:r>
    </w:p>
    <w:p w14:paraId="0CBAD3AB">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"_Toc66442999" </w:instrText>
      </w:r>
      <w:r>
        <w:fldChar w:fldCharType="separate"/>
      </w:r>
      <w:r>
        <w:rPr>
          <w:rStyle w:val="35"/>
          <w:rFonts w:ascii="Times New Roman" w:hAnsi="Times New Roman" w:cs="宋体"/>
          <w:color w:val="auto"/>
        </w:rPr>
        <w:t>第五节 完善养老服务体系</w:t>
      </w:r>
      <w:r>
        <w:tab/>
      </w:r>
      <w:r>
        <w:fldChar w:fldCharType="begin"/>
      </w:r>
      <w:r>
        <w:instrText xml:space="preserve"> PAGEREF _Toc66442999 \h </w:instrText>
      </w:r>
      <w:r>
        <w:fldChar w:fldCharType="separate"/>
      </w:r>
      <w:r>
        <w:t>87</w:t>
      </w:r>
      <w:r>
        <w:fldChar w:fldCharType="end"/>
      </w:r>
      <w:r>
        <w:fldChar w:fldCharType="end"/>
      </w:r>
    </w:p>
    <w:p w14:paraId="7DAE44C5">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"_Toc66443000" </w:instrText>
      </w:r>
      <w:r>
        <w:fldChar w:fldCharType="separate"/>
      </w:r>
      <w:r>
        <w:rPr>
          <w:rStyle w:val="35"/>
          <w:rFonts w:eastAsia="方正小标宋简体"/>
          <w:color w:val="auto"/>
        </w:rPr>
        <w:t>第十三章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深化市域社会治理，激发社会发展新活力</w:t>
      </w:r>
      <w:r>
        <w:tab/>
      </w:r>
      <w:r>
        <w:fldChar w:fldCharType="begin"/>
      </w:r>
      <w:r>
        <w:instrText xml:space="preserve"> PAGEREF _Toc66443000 \h </w:instrText>
      </w:r>
      <w:r>
        <w:fldChar w:fldCharType="separate"/>
      </w:r>
      <w:r>
        <w:t>89</w:t>
      </w:r>
      <w:r>
        <w:fldChar w:fldCharType="end"/>
      </w:r>
      <w:r>
        <w:fldChar w:fldCharType="end"/>
      </w:r>
    </w:p>
    <w:p w14:paraId="604B7F1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"_Toc66443001" </w:instrText>
      </w:r>
      <w:r>
        <w:fldChar w:fldCharType="separate"/>
      </w:r>
      <w:r>
        <w:rPr>
          <w:rStyle w:val="35"/>
          <w:rFonts w:ascii="Times New Roman" w:hAnsi="Times New Roman" w:cs="宋体"/>
          <w:color w:val="auto"/>
        </w:rPr>
        <w:t>第一节 提升现代化城市治理水平</w:t>
      </w:r>
      <w:r>
        <w:tab/>
      </w:r>
      <w:r>
        <w:fldChar w:fldCharType="begin"/>
      </w:r>
      <w:r>
        <w:instrText xml:space="preserve"> PAGEREF _Toc66443001 \h </w:instrText>
      </w:r>
      <w:r>
        <w:fldChar w:fldCharType="separate"/>
      </w:r>
      <w:r>
        <w:t>89</w:t>
      </w:r>
      <w:r>
        <w:fldChar w:fldCharType="end"/>
      </w:r>
      <w:r>
        <w:fldChar w:fldCharType="end"/>
      </w:r>
    </w:p>
    <w:p w14:paraId="5583D9E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"_Toc66443002" </w:instrText>
      </w:r>
      <w:r>
        <w:fldChar w:fldCharType="separate"/>
      </w:r>
      <w:r>
        <w:rPr>
          <w:rStyle w:val="35"/>
          <w:rFonts w:ascii="Times New Roman" w:hAnsi="Times New Roman" w:cs="宋体"/>
          <w:color w:val="auto"/>
        </w:rPr>
        <w:t>第二节 构筑现代治理法治基础</w:t>
      </w:r>
      <w:r>
        <w:tab/>
      </w:r>
      <w:r>
        <w:fldChar w:fldCharType="begin"/>
      </w:r>
      <w:r>
        <w:instrText xml:space="preserve"> PAGEREF _Toc66443002 \h </w:instrText>
      </w:r>
      <w:r>
        <w:fldChar w:fldCharType="separate"/>
      </w:r>
      <w:r>
        <w:t>90</w:t>
      </w:r>
      <w:r>
        <w:fldChar w:fldCharType="end"/>
      </w:r>
      <w:r>
        <w:fldChar w:fldCharType="end"/>
      </w:r>
    </w:p>
    <w:p w14:paraId="6E13938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"_Toc66443003" </w:instrText>
      </w:r>
      <w:r>
        <w:fldChar w:fldCharType="separate"/>
      </w:r>
      <w:r>
        <w:rPr>
          <w:rStyle w:val="35"/>
          <w:rFonts w:ascii="Times New Roman" w:hAnsi="Times New Roman" w:cs="宋体"/>
          <w:color w:val="auto"/>
        </w:rPr>
        <w:t>第三节 筑牢社会安全底线</w:t>
      </w:r>
      <w:r>
        <w:tab/>
      </w:r>
      <w:r>
        <w:fldChar w:fldCharType="begin"/>
      </w:r>
      <w:r>
        <w:instrText xml:space="preserve"> PAGEREF _Toc66443003 \h </w:instrText>
      </w:r>
      <w:r>
        <w:fldChar w:fldCharType="separate"/>
      </w:r>
      <w:r>
        <w:t>91</w:t>
      </w:r>
      <w:r>
        <w:fldChar w:fldCharType="end"/>
      </w:r>
      <w:r>
        <w:fldChar w:fldCharType="end"/>
      </w:r>
    </w:p>
    <w:p w14:paraId="2CDEB85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"_Toc66443004" </w:instrText>
      </w:r>
      <w:r>
        <w:fldChar w:fldCharType="separate"/>
      </w:r>
      <w:r>
        <w:rPr>
          <w:rStyle w:val="35"/>
          <w:rFonts w:ascii="Times New Roman" w:hAnsi="Times New Roman" w:cs="宋体"/>
          <w:color w:val="auto"/>
        </w:rPr>
        <w:t>第四节 健全社会信用体系</w:t>
      </w:r>
      <w:r>
        <w:tab/>
      </w:r>
      <w:r>
        <w:fldChar w:fldCharType="begin"/>
      </w:r>
      <w:r>
        <w:instrText xml:space="preserve"> PAGEREF _Toc66443004 \h </w:instrText>
      </w:r>
      <w:r>
        <w:fldChar w:fldCharType="separate"/>
      </w:r>
      <w:r>
        <w:t>92</w:t>
      </w:r>
      <w:r>
        <w:fldChar w:fldCharType="end"/>
      </w:r>
      <w:r>
        <w:fldChar w:fldCharType="end"/>
      </w:r>
    </w:p>
    <w:p w14:paraId="7B7B8D91">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"_Toc66443005" </w:instrText>
      </w:r>
      <w:r>
        <w:fldChar w:fldCharType="separate"/>
      </w:r>
      <w:r>
        <w:rPr>
          <w:rStyle w:val="35"/>
          <w:rFonts w:eastAsia="方正小标宋简体"/>
          <w:color w:val="auto"/>
        </w:rPr>
        <w:t>第十四章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增强改革创新能力，开创全区发展新局面</w:t>
      </w:r>
      <w:r>
        <w:tab/>
      </w:r>
      <w:r>
        <w:fldChar w:fldCharType="begin"/>
      </w:r>
      <w:r>
        <w:instrText xml:space="preserve"> PAGEREF _Toc66443005 \h </w:instrText>
      </w:r>
      <w:r>
        <w:fldChar w:fldCharType="separate"/>
      </w:r>
      <w:r>
        <w:t>94</w:t>
      </w:r>
      <w:r>
        <w:fldChar w:fldCharType="end"/>
      </w:r>
      <w:r>
        <w:fldChar w:fldCharType="end"/>
      </w:r>
    </w:p>
    <w:p w14:paraId="77BD5646">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"_Toc66443006" </w:instrText>
      </w:r>
      <w:r>
        <w:fldChar w:fldCharType="separate"/>
      </w:r>
      <w:r>
        <w:rPr>
          <w:rStyle w:val="35"/>
          <w:rFonts w:ascii="Times New Roman" w:hAnsi="Times New Roman" w:cs="宋体"/>
          <w:color w:val="auto"/>
        </w:rPr>
        <w:t>第一节 增强改革创新能力</w:t>
      </w:r>
      <w:r>
        <w:tab/>
      </w:r>
      <w:r>
        <w:fldChar w:fldCharType="begin"/>
      </w:r>
      <w:r>
        <w:instrText xml:space="preserve"> PAGEREF _Toc66443006 \h </w:instrText>
      </w:r>
      <w:r>
        <w:fldChar w:fldCharType="separate"/>
      </w:r>
      <w:r>
        <w:t>94</w:t>
      </w:r>
      <w:r>
        <w:fldChar w:fldCharType="end"/>
      </w:r>
      <w:r>
        <w:fldChar w:fldCharType="end"/>
      </w:r>
    </w:p>
    <w:p w14:paraId="68D7FED7">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"_Toc66443007" </w:instrText>
      </w:r>
      <w:r>
        <w:fldChar w:fldCharType="separate"/>
      </w:r>
      <w:r>
        <w:rPr>
          <w:rStyle w:val="35"/>
          <w:rFonts w:ascii="Times New Roman" w:hAnsi="Times New Roman" w:cs="宋体"/>
          <w:color w:val="auto"/>
        </w:rPr>
        <w:t>第二节 提升创新发展动力</w:t>
      </w:r>
      <w:r>
        <w:tab/>
      </w:r>
      <w:r>
        <w:fldChar w:fldCharType="begin"/>
      </w:r>
      <w:r>
        <w:instrText xml:space="preserve"> PAGEREF _Toc66443007 \h </w:instrText>
      </w:r>
      <w:r>
        <w:fldChar w:fldCharType="separate"/>
      </w:r>
      <w:r>
        <w:t>96</w:t>
      </w:r>
      <w:r>
        <w:fldChar w:fldCharType="end"/>
      </w:r>
      <w:r>
        <w:fldChar w:fldCharType="end"/>
      </w:r>
    </w:p>
    <w:p w14:paraId="7623B370">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"_Toc66443008" </w:instrText>
      </w:r>
      <w:r>
        <w:fldChar w:fldCharType="separate"/>
      </w:r>
      <w:r>
        <w:rPr>
          <w:rStyle w:val="35"/>
          <w:rFonts w:ascii="Times New Roman" w:hAnsi="Times New Roman" w:cs="宋体"/>
          <w:color w:val="auto"/>
        </w:rPr>
        <w:t>第三节 激发民营经济发展活力</w:t>
      </w:r>
      <w:r>
        <w:tab/>
      </w:r>
      <w:r>
        <w:fldChar w:fldCharType="begin"/>
      </w:r>
      <w:r>
        <w:instrText xml:space="preserve"> PAGEREF _Toc66443008 \h </w:instrText>
      </w:r>
      <w:r>
        <w:fldChar w:fldCharType="separate"/>
      </w:r>
      <w:r>
        <w:t>98</w:t>
      </w:r>
      <w:r>
        <w:fldChar w:fldCharType="end"/>
      </w:r>
      <w:r>
        <w:fldChar w:fldCharType="end"/>
      </w:r>
    </w:p>
    <w:p w14:paraId="55080009">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"_Toc66443009" </w:instrText>
      </w:r>
      <w:r>
        <w:fldChar w:fldCharType="separate"/>
      </w:r>
      <w:r>
        <w:rPr>
          <w:rStyle w:val="35"/>
          <w:rFonts w:ascii="Times New Roman" w:hAnsi="Times New Roman" w:cs="宋体"/>
          <w:color w:val="auto"/>
        </w:rPr>
        <w:t>第四节 推进专业人才队伍建设</w:t>
      </w:r>
      <w:r>
        <w:tab/>
      </w:r>
      <w:r>
        <w:fldChar w:fldCharType="begin"/>
      </w:r>
      <w:r>
        <w:instrText xml:space="preserve"> PAGEREF _Toc66443009 \h </w:instrText>
      </w:r>
      <w:r>
        <w:fldChar w:fldCharType="separate"/>
      </w:r>
      <w:r>
        <w:t>99</w:t>
      </w:r>
      <w:r>
        <w:fldChar w:fldCharType="end"/>
      </w:r>
      <w:r>
        <w:fldChar w:fldCharType="end"/>
      </w:r>
    </w:p>
    <w:p w14:paraId="401340C8">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"_Toc66443010" </w:instrText>
      </w:r>
      <w:r>
        <w:fldChar w:fldCharType="separate"/>
      </w:r>
      <w:r>
        <w:rPr>
          <w:rStyle w:val="35"/>
          <w:rFonts w:eastAsia="方正小标宋简体"/>
          <w:color w:val="auto"/>
        </w:rPr>
        <w:t>第十五章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提高开放引领作用，打造对外开放新高地</w:t>
      </w:r>
      <w:r>
        <w:tab/>
      </w:r>
      <w:r>
        <w:fldChar w:fldCharType="begin"/>
      </w:r>
      <w:r>
        <w:instrText xml:space="preserve"> PAGEREF _Toc66443010 \h </w:instrText>
      </w:r>
      <w:r>
        <w:fldChar w:fldCharType="separate"/>
      </w:r>
      <w:r>
        <w:t>102</w:t>
      </w:r>
      <w:r>
        <w:fldChar w:fldCharType="end"/>
      </w:r>
      <w:r>
        <w:fldChar w:fldCharType="end"/>
      </w:r>
    </w:p>
    <w:p w14:paraId="296DBF63">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"_Toc66443011" </w:instrText>
      </w:r>
      <w:r>
        <w:fldChar w:fldCharType="separate"/>
      </w:r>
      <w:r>
        <w:rPr>
          <w:rStyle w:val="35"/>
          <w:rFonts w:ascii="Times New Roman" w:hAnsi="Times New Roman" w:cs="宋体"/>
          <w:color w:val="auto"/>
        </w:rPr>
        <w:t>第一节 加大开放力度接轨外循环</w:t>
      </w:r>
      <w:r>
        <w:tab/>
      </w:r>
      <w:r>
        <w:fldChar w:fldCharType="begin"/>
      </w:r>
      <w:r>
        <w:instrText xml:space="preserve"> PAGEREF _Toc66443011 \h </w:instrText>
      </w:r>
      <w:r>
        <w:fldChar w:fldCharType="separate"/>
      </w:r>
      <w:r>
        <w:t>102</w:t>
      </w:r>
      <w:r>
        <w:fldChar w:fldCharType="end"/>
      </w:r>
      <w:r>
        <w:fldChar w:fldCharType="end"/>
      </w:r>
    </w:p>
    <w:p w14:paraId="3E61F908">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"_Toc66443012" </w:instrText>
      </w:r>
      <w:r>
        <w:fldChar w:fldCharType="separate"/>
      </w:r>
      <w:r>
        <w:rPr>
          <w:rStyle w:val="35"/>
          <w:rFonts w:ascii="Times New Roman" w:hAnsi="Times New Roman" w:cs="宋体"/>
          <w:color w:val="auto"/>
        </w:rPr>
        <w:t>第二节 加强区域协同拓展内循环</w:t>
      </w:r>
      <w:r>
        <w:tab/>
      </w:r>
      <w:r>
        <w:fldChar w:fldCharType="begin"/>
      </w:r>
      <w:r>
        <w:instrText xml:space="preserve"> PAGEREF _Toc66443012 \h </w:instrText>
      </w:r>
      <w:r>
        <w:fldChar w:fldCharType="separate"/>
      </w:r>
      <w:r>
        <w:t>103</w:t>
      </w:r>
      <w:r>
        <w:fldChar w:fldCharType="end"/>
      </w:r>
      <w:r>
        <w:fldChar w:fldCharType="end"/>
      </w:r>
    </w:p>
    <w:p w14:paraId="1F46501E">
      <w:pPr>
        <w:pStyle w:val="24"/>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"_Toc66443013" </w:instrText>
      </w:r>
      <w:r>
        <w:fldChar w:fldCharType="separate"/>
      </w:r>
      <w:r>
        <w:rPr>
          <w:rStyle w:val="35"/>
          <w:rFonts w:ascii="Times New Roman" w:hAnsi="Times New Roman" w:cs="宋体"/>
          <w:color w:val="auto"/>
        </w:rPr>
        <w:t>第三节 提升开放合作水平</w:t>
      </w:r>
      <w:r>
        <w:tab/>
      </w:r>
      <w:r>
        <w:fldChar w:fldCharType="begin"/>
      </w:r>
      <w:r>
        <w:instrText xml:space="preserve"> PAGEREF _Toc66443013 \h </w:instrText>
      </w:r>
      <w:r>
        <w:fldChar w:fldCharType="separate"/>
      </w:r>
      <w:r>
        <w:t>104</w:t>
      </w:r>
      <w:r>
        <w:fldChar w:fldCharType="end"/>
      </w:r>
      <w:r>
        <w:fldChar w:fldCharType="end"/>
      </w:r>
    </w:p>
    <w:p w14:paraId="7EFC882E">
      <w:pPr>
        <w:pStyle w:val="24"/>
        <w:tabs>
          <w:tab w:val="right" w:leader="dot" w:pos="8835"/>
        </w:tabs>
        <w:ind w:left="420"/>
      </w:pPr>
      <w:r>
        <w:fldChar w:fldCharType="begin"/>
      </w:r>
      <w:r>
        <w:instrText xml:space="preserve"> HYPERLINK \l "_Toc66443014" </w:instrText>
      </w:r>
      <w:r>
        <w:fldChar w:fldCharType="separate"/>
      </w:r>
      <w:r>
        <w:rPr>
          <w:rStyle w:val="35"/>
          <w:rFonts w:ascii="Times New Roman" w:hAnsi="Times New Roman" w:cs="宋体"/>
          <w:color w:val="auto"/>
        </w:rPr>
        <w:t>第四节 创新对外开放机制</w:t>
      </w:r>
      <w:r>
        <w:tab/>
      </w:r>
      <w:r>
        <w:fldChar w:fldCharType="begin"/>
      </w:r>
      <w:r>
        <w:instrText xml:space="preserve"> PAGEREF _Toc66443014 \h </w:instrText>
      </w:r>
      <w:r>
        <w:fldChar w:fldCharType="separate"/>
      </w:r>
      <w:r>
        <w:t>105</w:t>
      </w:r>
      <w:r>
        <w:fldChar w:fldCharType="end"/>
      </w:r>
      <w:r>
        <w:fldChar w:fldCharType="end"/>
      </w:r>
    </w:p>
    <w:p w14:paraId="3AE43A94"/>
    <w:p w14:paraId="150794A2">
      <w:pPr>
        <w:pStyle w:val="8"/>
      </w:pPr>
    </w:p>
    <w:p w14:paraId="077EF4DA">
      <w:pPr>
        <w:pStyle w:val="8"/>
      </w:pPr>
    </w:p>
    <w:p w14:paraId="24EE9376">
      <w:pPr>
        <w:pStyle w:val="20"/>
        <w:rPr>
          <w:rFonts w:asciiTheme="minorHAnsi" w:hAnsiTheme="minorHAnsi" w:eastAsiaTheme="minorEastAsia" w:cstheme="minorBidi"/>
          <w:b w:val="0"/>
          <w:bCs w:val="0"/>
          <w:iCs w:val="0"/>
          <w:caps w:val="0"/>
          <w:sz w:val="21"/>
          <w:szCs w:val="22"/>
        </w:rPr>
      </w:pPr>
      <w:r>
        <w:fldChar w:fldCharType="begin"/>
      </w:r>
      <w:r>
        <w:instrText xml:space="preserve"> HYPERLINK \l "_Toc66443015" </w:instrText>
      </w:r>
      <w:r>
        <w:fldChar w:fldCharType="separate"/>
      </w:r>
      <w:r>
        <w:rPr>
          <w:rStyle w:val="35"/>
          <w:rFonts w:eastAsia="方正小标宋简体"/>
          <w:color w:val="auto"/>
        </w:rPr>
        <w:t>第十六章</w:t>
      </w:r>
      <w:r>
        <w:rPr>
          <w:rFonts w:asciiTheme="minorHAnsi" w:hAnsiTheme="minorHAnsi" w:eastAsiaTheme="minorEastAsia" w:cstheme="minorBidi"/>
          <w:b w:val="0"/>
          <w:bCs w:val="0"/>
          <w:iCs w:val="0"/>
          <w:caps w:val="0"/>
          <w:sz w:val="21"/>
          <w:szCs w:val="22"/>
        </w:rPr>
        <w:tab/>
      </w:r>
      <w:r>
        <w:rPr>
          <w:rStyle w:val="35"/>
          <w:rFonts w:eastAsia="方正小标宋简体"/>
          <w:color w:val="auto"/>
        </w:rPr>
        <w:t>保障措施</w:t>
      </w:r>
      <w:r>
        <w:tab/>
      </w:r>
      <w:r>
        <w:fldChar w:fldCharType="begin"/>
      </w:r>
      <w:r>
        <w:instrText xml:space="preserve"> PAGEREF _Toc66443015 \h </w:instrText>
      </w:r>
      <w:r>
        <w:fldChar w:fldCharType="separate"/>
      </w:r>
      <w:r>
        <w:t>107</w:t>
      </w:r>
      <w:r>
        <w:fldChar w:fldCharType="end"/>
      </w:r>
      <w:r>
        <w:fldChar w:fldCharType="end"/>
      </w:r>
    </w:p>
    <w:p w14:paraId="17968ACF">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"_Toc66443016" </w:instrText>
      </w:r>
      <w:r>
        <w:fldChar w:fldCharType="separate"/>
      </w:r>
      <w:r>
        <w:rPr>
          <w:rStyle w:val="35"/>
          <w:rFonts w:ascii="Times New Roman" w:hAnsi="Times New Roman" w:cs="宋体"/>
          <w:color w:val="auto"/>
        </w:rPr>
        <w:t>第一节 坚持和加强党的全面领导</w:t>
      </w:r>
      <w:r>
        <w:tab/>
      </w:r>
      <w:r>
        <w:fldChar w:fldCharType="begin"/>
      </w:r>
      <w:r>
        <w:instrText xml:space="preserve"> PAGEREF _Toc66443016 \h </w:instrText>
      </w:r>
      <w:r>
        <w:fldChar w:fldCharType="separate"/>
      </w:r>
      <w:r>
        <w:t>107</w:t>
      </w:r>
      <w:r>
        <w:fldChar w:fldCharType="end"/>
      </w:r>
      <w:r>
        <w:fldChar w:fldCharType="end"/>
      </w:r>
    </w:p>
    <w:p w14:paraId="11ED4B36">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"_Toc66443017" </w:instrText>
      </w:r>
      <w:r>
        <w:fldChar w:fldCharType="separate"/>
      </w:r>
      <w:r>
        <w:rPr>
          <w:rStyle w:val="35"/>
          <w:rFonts w:ascii="Times New Roman" w:hAnsi="Times New Roman" w:cs="宋体"/>
          <w:color w:val="auto"/>
        </w:rPr>
        <w:t>第二节 加强规划实施组织协调</w:t>
      </w:r>
      <w:r>
        <w:tab/>
      </w:r>
      <w:r>
        <w:fldChar w:fldCharType="begin"/>
      </w:r>
      <w:r>
        <w:instrText xml:space="preserve"> PAGEREF _Toc66443017 \h </w:instrText>
      </w:r>
      <w:r>
        <w:fldChar w:fldCharType="separate"/>
      </w:r>
      <w:r>
        <w:t>107</w:t>
      </w:r>
      <w:r>
        <w:fldChar w:fldCharType="end"/>
      </w:r>
      <w:r>
        <w:fldChar w:fldCharType="end"/>
      </w:r>
    </w:p>
    <w:p w14:paraId="63D042FE">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"_Toc66443018" </w:instrText>
      </w:r>
      <w:r>
        <w:fldChar w:fldCharType="separate"/>
      </w:r>
      <w:r>
        <w:rPr>
          <w:rStyle w:val="35"/>
          <w:rFonts w:ascii="Times New Roman" w:hAnsi="Times New Roman" w:cs="宋体"/>
          <w:color w:val="auto"/>
        </w:rPr>
        <w:t>第三节 做实项目支撑</w:t>
      </w:r>
      <w:r>
        <w:tab/>
      </w:r>
      <w:r>
        <w:fldChar w:fldCharType="begin"/>
      </w:r>
      <w:r>
        <w:instrText xml:space="preserve"> PAGEREF _Toc66443018 \h </w:instrText>
      </w:r>
      <w:r>
        <w:fldChar w:fldCharType="separate"/>
      </w:r>
      <w:r>
        <w:t>108</w:t>
      </w:r>
      <w:r>
        <w:fldChar w:fldCharType="end"/>
      </w:r>
      <w:r>
        <w:fldChar w:fldCharType="end"/>
      </w:r>
    </w:p>
    <w:p w14:paraId="304472ED">
      <w:pPr>
        <w:pStyle w:val="24"/>
        <w:widowControl w:val="0"/>
        <w:tabs>
          <w:tab w:val="right" w:leader="dot" w:pos="8835"/>
        </w:tabs>
        <w:ind w:left="420"/>
        <w:rPr>
          <w:rFonts w:asciiTheme="minorHAnsi" w:hAnsiTheme="minorHAnsi" w:eastAsiaTheme="minorEastAsia" w:cstheme="minorBidi"/>
          <w:smallCaps w:val="0"/>
          <w:sz w:val="21"/>
          <w:szCs w:val="22"/>
        </w:rPr>
      </w:pPr>
      <w:r>
        <w:fldChar w:fldCharType="begin"/>
      </w:r>
      <w:r>
        <w:instrText xml:space="preserve"> HYPERLINK \l "_Toc66443019" </w:instrText>
      </w:r>
      <w:r>
        <w:fldChar w:fldCharType="separate"/>
      </w:r>
      <w:r>
        <w:rPr>
          <w:rStyle w:val="35"/>
          <w:rFonts w:ascii="Times New Roman" w:hAnsi="Times New Roman" w:cs="宋体"/>
          <w:color w:val="auto"/>
        </w:rPr>
        <w:t>第四节 建立实施评估制度</w:t>
      </w:r>
      <w:r>
        <w:tab/>
      </w:r>
      <w:r>
        <w:fldChar w:fldCharType="begin"/>
      </w:r>
      <w:r>
        <w:instrText xml:space="preserve"> PAGEREF _Toc66443019 \h </w:instrText>
      </w:r>
      <w:r>
        <w:fldChar w:fldCharType="separate"/>
      </w:r>
      <w:r>
        <w:t>110</w:t>
      </w:r>
      <w:r>
        <w:fldChar w:fldCharType="end"/>
      </w:r>
      <w:r>
        <w:fldChar w:fldCharType="end"/>
      </w:r>
    </w:p>
    <w:p w14:paraId="1B7F47E2">
      <w:pPr>
        <w:pStyle w:val="20"/>
        <w:widowControl w:val="0"/>
        <w:tabs>
          <w:tab w:val="clear" w:pos="1260"/>
        </w:tabs>
        <w:rPr>
          <w:rFonts w:asciiTheme="minorHAnsi" w:hAnsiTheme="minorHAnsi" w:eastAsiaTheme="minorEastAsia" w:cstheme="minorBidi"/>
          <w:b w:val="0"/>
          <w:bCs w:val="0"/>
          <w:iCs w:val="0"/>
          <w:caps w:val="0"/>
          <w:sz w:val="21"/>
          <w:szCs w:val="22"/>
        </w:rPr>
      </w:pPr>
      <w:r>
        <w:fldChar w:fldCharType="begin"/>
      </w:r>
      <w:r>
        <w:instrText xml:space="preserve"> HYPERLINK \l "_Toc66443020" </w:instrText>
      </w:r>
      <w:r>
        <w:fldChar w:fldCharType="separate"/>
      </w:r>
      <w:r>
        <w:rPr>
          <w:rStyle w:val="35"/>
          <w:rFonts w:eastAsia="黑体"/>
          <w:color w:val="auto"/>
        </w:rPr>
        <w:t>附表：</w:t>
      </w:r>
      <w:r>
        <w:tab/>
      </w:r>
      <w:r>
        <w:fldChar w:fldCharType="begin"/>
      </w:r>
      <w:r>
        <w:instrText xml:space="preserve"> PAGEREF _Toc66443020 \h </w:instrText>
      </w:r>
      <w:r>
        <w:fldChar w:fldCharType="separate"/>
      </w:r>
      <w:r>
        <w:t>111</w:t>
      </w:r>
      <w:r>
        <w:fldChar w:fldCharType="end"/>
      </w:r>
      <w:r>
        <w:fldChar w:fldCharType="end"/>
      </w:r>
    </w:p>
    <w:p w14:paraId="39D05E09">
      <w:pPr>
        <w:pStyle w:val="24"/>
        <w:tabs>
          <w:tab w:val="right" w:pos="8297"/>
        </w:tabs>
        <w:ind w:left="199" w:leftChars="95"/>
        <w:jc w:val="center"/>
        <w:rPr>
          <w:rFonts w:ascii="Times New Roman" w:hAnsi="Times New Roman"/>
          <w:b/>
          <w:szCs w:val="24"/>
        </w:rPr>
        <w:sectPr>
          <w:footerReference r:id="rId5" w:type="default"/>
          <w:pgSz w:w="11907" w:h="16840"/>
          <w:pgMar w:top="1440" w:right="1474" w:bottom="1440" w:left="1588" w:header="851" w:footer="992" w:gutter="0"/>
          <w:pgNumType w:fmt="upperRoman" w:start="1"/>
          <w:cols w:space="425" w:num="1"/>
          <w:docGrid w:linePitch="312" w:charSpace="0"/>
        </w:sectPr>
      </w:pPr>
      <w:r>
        <w:rPr>
          <w:rFonts w:ascii="Times New Roman" w:hAnsi="Times New Roman" w:eastAsia="黑体"/>
          <w:b/>
          <w:sz w:val="30"/>
          <w:szCs w:val="30"/>
        </w:rPr>
        <w:fldChar w:fldCharType="end"/>
      </w:r>
    </w:p>
    <w:bookmarkEnd w:id="9"/>
    <w:p w14:paraId="1E22DC63">
      <w:pPr>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十四五”（2021-2025年）时期是我国全面建成小康社会，实现第一个百年奋斗目标之后，乘势而上全面建设社会主义现代化国家新征程，向第二个百年奋斗目标进军的第一个五年，是贯彻习近平新时代中国特色社会主义思想，落实党的十九大和习近平总书记来陕考察重要讲话精神，构建以抢抓“一带一路”、新时代推进西部大开发形成新格局、关中平原城市群发展规划、黄河流域生态保护和高质量发展等国家战略，推动金台区高质量发展的机遇期。更是金台区立足“十三五”发展建设成就，遵循区域经济社会发展规律，发挥区位和比较优势，畅通内外循环，强化产业链建设，推进更高水平改革开放，奋力谱写金台新时代追赶超越新篇章的关键期。根据</w:t>
      </w:r>
      <w:r>
        <w:rPr>
          <w:rFonts w:hint="eastAsia" w:ascii="仿宋_GB2312" w:hAnsi="仿宋_GB2312" w:eastAsia="仿宋_GB2312" w:cs="仿宋_GB2312"/>
          <w:sz w:val="32"/>
          <w:szCs w:val="32"/>
          <w:lang w:eastAsia="zh-CN"/>
        </w:rPr>
        <w:t>党的十九届五中全会精神</w:t>
      </w:r>
      <w:r>
        <w:rPr>
          <w:rFonts w:hint="eastAsia" w:ascii="仿宋_GB2312" w:hAnsi="仿宋_GB2312" w:eastAsia="仿宋_GB2312" w:cs="仿宋_GB2312"/>
          <w:sz w:val="32"/>
          <w:szCs w:val="32"/>
        </w:rPr>
        <w:t>，按照中、省、市关于编制国民经济和社会发展第十四个五年规划的总体要求，《宝鸡市金台区国民经济和社会发展第十四个五年规划和二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三五年远景目标纲要》立足2025、展望2035，全面部署全区经济社会发展的总体思路、目标任务和发展重点，是推进全区在新起点上绘制新蓝图、开启新征程、实现新跨越，</w:t>
      </w:r>
      <w:r>
        <w:rPr>
          <w:rFonts w:hint="eastAsia" w:ascii="Times New Roman" w:hAnsi="Times New Roman" w:eastAsia="仿宋_GB2312"/>
          <w:sz w:val="32"/>
          <w:szCs w:val="32"/>
        </w:rPr>
        <w:t>建设“一个核心区”，打造“六个新高地”</w:t>
      </w:r>
      <w:r>
        <w:rPr>
          <w:rFonts w:hint="eastAsia" w:ascii="仿宋_GB2312" w:hAnsi="仿宋_GB2312" w:eastAsia="仿宋_GB2312" w:cs="仿宋_GB2312"/>
          <w:sz w:val="32"/>
          <w:szCs w:val="32"/>
        </w:rPr>
        <w:t>的发展指南和行动纲领。</w:t>
      </w:r>
    </w:p>
    <w:p w14:paraId="3A956B77">
      <w:pPr>
        <w:topLinePunct/>
        <w:autoSpaceDE w:val="0"/>
        <w:autoSpaceDN w:val="0"/>
        <w:adjustRightInd w:val="0"/>
        <w:snapToGrid w:val="0"/>
        <w:spacing w:line="360" w:lineRule="auto"/>
        <w:ind w:firstLine="640" w:firstLineChars="200"/>
        <w:jc w:val="both"/>
        <w:rPr>
          <w:rFonts w:ascii="仿宋_GB2312" w:hAnsi="仿宋_GB2312" w:eastAsia="仿宋_GB2312" w:cs="仿宋_GB2312"/>
          <w:sz w:val="32"/>
          <w:szCs w:val="32"/>
        </w:rPr>
        <w:sectPr>
          <w:pgSz w:w="11907" w:h="16840"/>
          <w:pgMar w:top="1440" w:right="1474" w:bottom="1440" w:left="1588" w:header="851" w:footer="992" w:gutter="0"/>
          <w:pgNumType w:start="1"/>
          <w:cols w:space="425" w:num="1"/>
          <w:docGrid w:linePitch="312" w:charSpace="0"/>
        </w:sectPr>
      </w:pPr>
    </w:p>
    <w:bookmarkEnd w:id="10"/>
    <w:bookmarkEnd w:id="11"/>
    <w:p w14:paraId="699043B3">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8" w:name="_Toc49276044"/>
      <w:bookmarkStart w:id="29" w:name="_Toc50988050"/>
      <w:bookmarkStart w:id="30" w:name="_Toc66442945"/>
      <w:bookmarkStart w:id="31" w:name="_Toc50988302"/>
      <w:bookmarkStart w:id="32" w:name="_Toc50710086"/>
      <w:bookmarkStart w:id="33" w:name="_Toc53863284"/>
      <w:bookmarkStart w:id="34" w:name="_Toc42610323"/>
      <w:bookmarkStart w:id="35" w:name="_Toc41854888"/>
      <w:bookmarkStart w:id="36" w:name="_Toc42100034"/>
      <w:r>
        <w:rPr>
          <w:rFonts w:hint="eastAsia" w:eastAsia="方正小标宋简体"/>
          <w:b w:val="0"/>
          <w:iCs/>
          <w:kern w:val="2"/>
          <w:sz w:val="36"/>
          <w:szCs w:val="36"/>
        </w:rPr>
        <w:t>发展基础与环境</w:t>
      </w:r>
      <w:bookmarkEnd w:id="28"/>
      <w:bookmarkEnd w:id="29"/>
      <w:bookmarkEnd w:id="30"/>
      <w:bookmarkEnd w:id="31"/>
      <w:bookmarkEnd w:id="32"/>
      <w:bookmarkEnd w:id="33"/>
    </w:p>
    <w:p w14:paraId="5FF039E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 w:name="_Toc53863285"/>
      <w:bookmarkStart w:id="38" w:name="_Toc66442946"/>
      <w:bookmarkStart w:id="39" w:name="_Toc50988303"/>
      <w:bookmarkStart w:id="40" w:name="_Toc50988051"/>
      <w:bookmarkStart w:id="41" w:name="_Toc41468418"/>
      <w:bookmarkStart w:id="42" w:name="_Toc50710087"/>
      <w:bookmarkStart w:id="43" w:name="_Toc49276045"/>
      <w:bookmarkStart w:id="44" w:name="_Toc41854880"/>
      <w:bookmarkStart w:id="45" w:name="_Toc41894164"/>
      <w:bookmarkStart w:id="46" w:name="_Toc41468428"/>
      <w:bookmarkStart w:id="47" w:name="_Toc41468429"/>
      <w:bookmarkStart w:id="48" w:name="_Toc3543898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发展基础</w:t>
      </w:r>
      <w:bookmarkEnd w:id="37"/>
      <w:bookmarkEnd w:id="38"/>
      <w:bookmarkEnd w:id="39"/>
      <w:bookmarkEnd w:id="40"/>
      <w:bookmarkEnd w:id="41"/>
      <w:bookmarkEnd w:id="42"/>
      <w:bookmarkEnd w:id="43"/>
      <w:bookmarkEnd w:id="44"/>
      <w:bookmarkEnd w:id="45"/>
    </w:p>
    <w:p w14:paraId="05899829">
      <w:pPr>
        <w:pStyle w:val="5"/>
        <w:widowControl w:val="0"/>
        <w:numPr>
          <w:ilvl w:val="0"/>
          <w:numId w:val="2"/>
        </w:numPr>
        <w:adjustRightInd w:val="0"/>
        <w:snapToGrid w:val="0"/>
        <w:spacing w:before="0" w:after="0" w:line="600" w:lineRule="exact"/>
        <w:ind w:firstLine="643" w:firstLineChars="200"/>
        <w:rPr>
          <w:rFonts w:eastAsia="楷体" w:cs="宋体"/>
        </w:rPr>
      </w:pPr>
      <w:bookmarkStart w:id="49" w:name="_Toc41894165"/>
      <w:bookmarkStart w:id="50" w:name="_Toc41854881"/>
      <w:bookmarkStart w:id="51" w:name="_Toc41468419"/>
      <w:r>
        <w:rPr>
          <w:rFonts w:hint="eastAsia" w:eastAsia="楷体" w:cs="宋体"/>
        </w:rPr>
        <w:t>“十三五”发展</w:t>
      </w:r>
      <w:bookmarkEnd w:id="49"/>
      <w:bookmarkEnd w:id="50"/>
      <w:bookmarkEnd w:id="51"/>
      <w:r>
        <w:rPr>
          <w:rFonts w:hint="eastAsia" w:eastAsia="楷体" w:cs="宋体"/>
        </w:rPr>
        <w:t>回顾</w:t>
      </w:r>
    </w:p>
    <w:p w14:paraId="49F29DD0">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三五”期间，全区以习近平新时代中国特色社会主义思想为指导，全面贯彻落实中省市战略部署，坚持新发展理念，按照“一个主题、两条主线、四大战略、五大支撑体系”总体思路，较好完成了“十三五”规划确定的主要目标任务，经济社会发展取得了显著成绩。</w:t>
      </w:r>
    </w:p>
    <w:p w14:paraId="4AF913DD">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经济实力稳步提升。</w:t>
      </w:r>
      <w:r>
        <w:rPr>
          <w:rFonts w:hint="eastAsia" w:ascii="仿宋_GB2312" w:hAnsi="仿宋_GB2312" w:eastAsia="仿宋_GB2312" w:cs="仿宋_GB2312"/>
          <w:sz w:val="32"/>
          <w:szCs w:val="32"/>
        </w:rPr>
        <w:t>“十三五”期间，全区地方生产总值（GDP）总量稳居全市第二位，年均增长6.1%。累计实现地方财政收入23.7亿元；全社会固定资产投资年均增长9.1%。三次产业结构由2015年的0.87:67.58:31.55优化到2020年的</w:t>
      </w:r>
      <w:r>
        <w:rPr>
          <w:rFonts w:hint="eastAsia" w:ascii="仿宋_GB2312" w:hAnsi="仿宋_GB2312" w:eastAsia="仿宋_GB2312" w:cs="仿宋_GB2312"/>
          <w:kern w:val="0"/>
          <w:sz w:val="32"/>
          <w:szCs w:val="32"/>
        </w:rPr>
        <w:t>0.8:58.8:40.4</w:t>
      </w:r>
      <w:r>
        <w:rPr>
          <w:rFonts w:hint="eastAsia" w:ascii="仿宋_GB2312" w:hAnsi="仿宋_GB2312" w:eastAsia="仿宋_GB2312" w:cs="仿宋_GB2312"/>
          <w:sz w:val="32"/>
          <w:szCs w:val="32"/>
        </w:rPr>
        <w:t>。经济发展总量、结构、质量同步提升，2017年居全省城市区第9位，2017年和2019年荣获全省践行新发展理念经济社会发展“争先进位区”</w:t>
      </w:r>
      <w:r>
        <w:rPr>
          <w:rFonts w:hint="eastAsia" w:ascii="Times New Roman" w:hAnsi="Times New Roman" w:eastAsia="仿宋_GB2312"/>
          <w:sz w:val="32"/>
          <w:szCs w:val="32"/>
        </w:rPr>
        <w:t>。</w:t>
      </w:r>
      <w:r>
        <w:rPr>
          <w:rFonts w:hint="eastAsia" w:ascii="仿宋_GB2312" w:hAnsi="仿宋_GB2312" w:eastAsia="仿宋_GB2312" w:cs="仿宋_GB2312"/>
          <w:color w:val="000000" w:themeColor="text1"/>
          <w:sz w:val="32"/>
          <w:szCs w:val="32"/>
          <w14:textFill>
            <w14:solidFill>
              <w14:schemeClr w14:val="tx1"/>
            </w14:solidFill>
          </w14:textFill>
        </w:rPr>
        <w:t>统筹推进蟠龙高新区开发建设，</w:t>
      </w:r>
      <w:r>
        <w:rPr>
          <w:rFonts w:hint="eastAsia" w:ascii="仿宋_GB2312" w:hAnsi="仿宋_GB2312" w:eastAsia="仿宋_GB2312" w:cs="仿宋_GB2312"/>
          <w:color w:val="000000"/>
          <w:sz w:val="32"/>
          <w:szCs w:val="32"/>
        </w:rPr>
        <w:t>“三横三纵”主干路网全面建成，曲江城市未来谷、宝鸡文理学院新校区等重点项目扎实推进，市委党校、陕西机电职业学院、方塘中学等23个项目建成投用，区级四大班子机关和20个区级部门上塬办公，拉动效应凸显。</w:t>
      </w:r>
    </w:p>
    <w:p w14:paraId="5A503ADC">
      <w:pPr>
        <w:tabs>
          <w:tab w:val="left" w:pos="4650"/>
        </w:tabs>
        <w:autoSpaceDN w:val="0"/>
        <w:adjustRightInd w:val="0"/>
        <w:spacing w:line="540" w:lineRule="exact"/>
        <w:ind w:firstLine="643" w:firstLineChars="200"/>
        <w:jc w:val="both"/>
        <w:textAlignment w:val="baseline"/>
        <w:rPr>
          <w:rFonts w:ascii="仿宋_GB2312" w:hAnsi="仿宋_GB2312" w:eastAsia="仿宋_GB2312" w:cs="仿宋_GB2312"/>
          <w:color w:val="000000"/>
          <w:sz w:val="32"/>
          <w:szCs w:val="32"/>
        </w:rPr>
      </w:pPr>
      <w:r>
        <w:rPr>
          <w:rFonts w:hint="eastAsia" w:ascii="Times New Roman" w:hAnsi="Times New Roman" w:eastAsia="仿宋_GB2312"/>
          <w:b/>
          <w:sz w:val="32"/>
          <w:szCs w:val="32"/>
        </w:rPr>
        <w:t>产业转型提质增效。</w:t>
      </w:r>
      <w:r>
        <w:rPr>
          <w:rFonts w:hint="eastAsia" w:ascii="仿宋_GB2312" w:hAnsi="仿宋_GB2312" w:eastAsia="仿宋_GB2312" w:cs="仿宋_GB2312"/>
          <w:b/>
          <w:bCs/>
          <w:sz w:val="32"/>
          <w:szCs w:val="32"/>
        </w:rPr>
        <w:t>工业转型升级，</w:t>
      </w:r>
      <w:r>
        <w:rPr>
          <w:rFonts w:hint="eastAsia" w:ascii="仿宋_GB2312" w:hAnsi="仿宋_GB2312" w:eastAsia="仿宋_GB2312" w:cs="仿宋_GB2312"/>
          <w:sz w:val="32"/>
          <w:szCs w:val="32"/>
        </w:rPr>
        <w:t>金河工业园</w:t>
      </w:r>
      <w:r>
        <w:rPr>
          <w:rFonts w:hint="eastAsia" w:ascii="仿宋_GB2312" w:hAnsi="仿宋_GB2312" w:eastAsia="仿宋_GB2312" w:cs="仿宋_GB2312"/>
          <w:color w:val="000000" w:themeColor="text1"/>
          <w:kern w:val="0"/>
          <w:sz w:val="32"/>
          <w:szCs w:val="32"/>
          <w14:textFill>
            <w14:solidFill>
              <w14:schemeClr w14:val="tx1"/>
            </w14:solidFill>
          </w14:textFill>
        </w:rPr>
        <w:t>跻身省级创新转型示范区和全省示范县域工业集中区，龙源工业园入驻企业15户，福临堡工业园发展成为全市叉车和轨道交通装备制造基地。宝石机械油气钻井装备工程技术研究中心获得国家资质，东岭集团跻身中国企业500强第169位，</w:t>
      </w:r>
      <w:r>
        <w:rPr>
          <w:rFonts w:hint="eastAsia" w:ascii="仿宋_GB2312" w:hAnsi="仿宋_GB2312" w:eastAsia="仿宋_GB2312" w:cs="仿宋_GB2312"/>
          <w:color w:val="000000" w:themeColor="text1"/>
          <w:sz w:val="32"/>
          <w:szCs w:val="32"/>
          <w14:textFill>
            <w14:solidFill>
              <w14:schemeClr w14:val="tx1"/>
            </w14:solidFill>
          </w14:textFill>
        </w:rPr>
        <w:t>宝鸡合力叉车公司注册成立。</w:t>
      </w:r>
      <w:r>
        <w:rPr>
          <w:rFonts w:hint="eastAsia" w:ascii="仿宋_GB2312" w:hAnsi="仿宋_GB2312" w:eastAsia="仿宋_GB2312" w:cs="仿宋_GB2312"/>
          <w:sz w:val="32"/>
          <w:szCs w:val="32"/>
        </w:rPr>
        <w:t>近五年净增规上工业企业23户，</w:t>
      </w:r>
      <w:r>
        <w:rPr>
          <w:rFonts w:hint="eastAsia" w:ascii="仿宋_GB2312" w:hAnsi="仿宋_GB2312" w:eastAsia="仿宋_GB2312" w:cs="仿宋_GB2312"/>
          <w:color w:val="000000" w:themeColor="text1"/>
          <w:sz w:val="32"/>
          <w:szCs w:val="32"/>
          <w14:textFill>
            <w14:solidFill>
              <w14:schemeClr w14:val="tx1"/>
            </w14:solidFill>
          </w14:textFill>
        </w:rPr>
        <w:t>工业总产值突破400亿元大关，</w:t>
      </w:r>
      <w:r>
        <w:rPr>
          <w:rFonts w:hint="eastAsia" w:ascii="仿宋_GB2312" w:hAnsi="仿宋_GB2312" w:eastAsia="仿宋_GB2312" w:cs="仿宋_GB2312"/>
          <w:sz w:val="32"/>
          <w:szCs w:val="32"/>
        </w:rPr>
        <w:t>规上工业增加值年均增速4.8%。</w:t>
      </w:r>
      <w:r>
        <w:rPr>
          <w:rFonts w:hint="eastAsia" w:ascii="楷体_GB2312" w:hAnsi="楷体_GB2312" w:eastAsia="楷体_GB2312" w:cs="楷体_GB2312"/>
          <w:b/>
          <w:bCs/>
          <w:sz w:val="32"/>
          <w:szCs w:val="32"/>
        </w:rPr>
        <w:t>消费扩容提质。</w:t>
      </w:r>
      <w:r>
        <w:rPr>
          <w:rFonts w:hint="eastAsia" w:ascii="仿宋_GB2312" w:hAnsi="仿宋_GB2312" w:eastAsia="仿宋_GB2312" w:cs="仿宋_GB2312"/>
          <w:sz w:val="32"/>
          <w:szCs w:val="32"/>
        </w:rPr>
        <w:t>大数据产业园跻身国家级众创空间、省级创业孵化示范基地，九次方数据星河等67户企业入驻。金台大道1502工程扎实推进，全市首座超高层——东岭国金中心及银泰城、皇冠假日酒店、东岭新天地、金融广场建成投用，宝鸡CCBD入驻企业达到630户。现代服务业蓬勃发展，千禧时代、三迪商业广场等一批重点三产项目建成运营，盛世广场、金台大道成为全市夜间经济新热点。</w:t>
      </w:r>
      <w:r>
        <w:rPr>
          <w:rFonts w:hint="eastAsia" w:ascii="楷体_GB2312" w:hAnsi="楷体_GB2312" w:eastAsia="楷体_GB2312" w:cs="楷体_GB2312"/>
          <w:b/>
          <w:bCs/>
          <w:sz w:val="32"/>
          <w:szCs w:val="32"/>
        </w:rPr>
        <w:t>文旅融合提速。</w:t>
      </w:r>
      <w:r>
        <w:rPr>
          <w:rFonts w:hint="eastAsia" w:ascii="仿宋_GB2312" w:hAnsi="仿宋_GB2312" w:eastAsia="仿宋_GB2312" w:cs="仿宋_GB2312"/>
          <w:color w:val="000000"/>
          <w:sz w:val="32"/>
          <w:szCs w:val="32"/>
        </w:rPr>
        <w:t>国家全域旅游示范区创建启动，北首岭遗址公园、古陈仓城遗址公园、军事公园等文旅融合项目扎实推进，西府老街、西府里、胜利塬游乐园、</w:t>
      </w:r>
      <w:r>
        <w:rPr>
          <w:rFonts w:hint="eastAsia" w:ascii="仿宋_GB2312" w:hAnsi="仿宋_GB2312" w:eastAsia="仿宋_GB2312" w:cs="仿宋_GB2312"/>
          <w:sz w:val="32"/>
          <w:szCs w:val="32"/>
        </w:rPr>
        <w:t>卧龙理想共创文化产业园</w:t>
      </w:r>
      <w:r>
        <w:rPr>
          <w:rFonts w:hint="eastAsia" w:ascii="仿宋_GB2312" w:hAnsi="仿宋_GB2312" w:eastAsia="仿宋_GB2312" w:cs="仿宋_GB2312"/>
          <w:color w:val="000000"/>
          <w:sz w:val="32"/>
          <w:szCs w:val="32"/>
        </w:rPr>
        <w:t>、玉池知青公社等成为网红打卡地和文旅新热点。长乐塬抗战工业遗址跻身全国重点文物保护单位、全国首批工业遗产、</w:t>
      </w:r>
      <w:r>
        <w:rPr>
          <w:rFonts w:hint="eastAsia" w:ascii="仿宋_GB2312" w:hAnsi="仿宋_GB2312" w:eastAsia="仿宋_GB2312" w:cs="仿宋_GB2312"/>
          <w:sz w:val="32"/>
          <w:szCs w:val="32"/>
        </w:rPr>
        <w:t>国家级抗战纪念遗址，并与</w:t>
      </w:r>
      <w:r>
        <w:rPr>
          <w:rFonts w:hint="eastAsia" w:ascii="仿宋_GB2312" w:hAnsi="仿宋_GB2312" w:eastAsia="仿宋_GB2312" w:cs="仿宋_GB2312"/>
          <w:color w:val="000000"/>
          <w:sz w:val="32"/>
          <w:szCs w:val="32"/>
        </w:rPr>
        <w:t>卧龙文创园双双被命名为省级文化和科技融合示范基地。</w:t>
      </w:r>
      <w:r>
        <w:rPr>
          <w:rFonts w:hint="eastAsia" w:ascii="仿宋_GB2312" w:hAnsi="仿宋_GB2312" w:eastAsia="仿宋_GB2312" w:cs="仿宋_GB2312"/>
          <w:sz w:val="32"/>
          <w:szCs w:val="32"/>
        </w:rPr>
        <w:t>金河镇荣获省级特色旅游名镇。宝鸡文化艺术中心、宝鸡大剧院建成投运，陕西省“九艺节”、庆祝“农民丰收节”等重大活动圆满成功。</w:t>
      </w:r>
      <w:r>
        <w:rPr>
          <w:rFonts w:hint="eastAsia" w:ascii="楷体_GB2312" w:hAnsi="楷体_GB2312" w:eastAsia="楷体_GB2312" w:cs="楷体_GB2312"/>
          <w:b/>
          <w:bCs/>
          <w:sz w:val="32"/>
          <w:szCs w:val="32"/>
        </w:rPr>
        <w:t>农业增产增效。</w:t>
      </w:r>
      <w:r>
        <w:rPr>
          <w:rFonts w:hint="eastAsia" w:ascii="仿宋_GB2312" w:hAnsi="仿宋_GB2312" w:eastAsia="仿宋_GB2312" w:cs="仿宋_GB2312"/>
          <w:color w:val="000000"/>
          <w:sz w:val="32"/>
          <w:szCs w:val="32"/>
        </w:rPr>
        <w:t>玉涧堡等16个重点村“三变”改革全面完成，村级集体经济组织实现全覆盖，建成高标准农田1.38万亩、中药材1.2万亩、设施农业2000余亩。东岭村荣获全国乡村振兴示范村，硖石供销社获评全国基层标杆社。</w:t>
      </w:r>
    </w:p>
    <w:p w14:paraId="74A2212A">
      <w:pPr>
        <w:pStyle w:val="2"/>
        <w:widowControl w:val="0"/>
        <w:spacing w:line="520" w:lineRule="exact"/>
        <w:ind w:firstLine="643" w:firstLineChars="200"/>
        <w:jc w:val="both"/>
        <w:rPr>
          <w:rFonts w:ascii="仿宋_GB2312" w:hAnsi="仿宋_GB2312" w:cs="仿宋_GB2312"/>
          <w:szCs w:val="32"/>
        </w:rPr>
      </w:pPr>
      <w:r>
        <w:rPr>
          <w:rFonts w:hint="eastAsia"/>
          <w:b/>
          <w:szCs w:val="32"/>
        </w:rPr>
        <w:t>城乡建设加速推进。</w:t>
      </w:r>
      <w:r>
        <w:rPr>
          <w:rFonts w:hint="eastAsia" w:ascii="仿宋_GB2312" w:hAnsi="仿宋_GB2312" w:cs="仿宋_GB2312"/>
          <w:szCs w:val="32"/>
        </w:rPr>
        <w:t>城市能级不断提升，金台大道、大庆路等城市主干道改造提升工程和渭河植物园大桥、联盟大桥建成通车，行政大道东延、团结大桥等“三桥六路”环境保障任务全面落实。</w:t>
      </w:r>
      <w:r>
        <w:rPr>
          <w:rFonts w:hint="eastAsia" w:ascii="仿宋_GB2312" w:hAnsi="仿宋_GB2312" w:cs="仿宋_GB2312"/>
          <w:color w:val="000000" w:themeColor="text1"/>
          <w:szCs w:val="32"/>
          <w14:textFill>
            <w14:solidFill>
              <w14:schemeClr w14:val="tx1"/>
            </w14:solidFill>
          </w14:textFill>
        </w:rPr>
        <w:t>蟠高快线一期开工建设，S222蟠龙塬、胜利塬、马家塬贯通，</w:t>
      </w:r>
      <w:r>
        <w:rPr>
          <w:rFonts w:hint="eastAsia" w:ascii="仿宋_GB2312" w:hAnsi="仿宋_GB2312" w:cs="仿宋_GB2312"/>
          <w:szCs w:val="32"/>
        </w:rPr>
        <w:t>实现“一路连三塬、天堑变通途”。城市更新行动扎实推进，累计实施玉涧堡等棚户区改造项目19个，投资总量和改造体量占全市70%以上。</w:t>
      </w:r>
      <w:r>
        <w:rPr>
          <w:rFonts w:hint="eastAsia" w:ascii="仿宋_GB2312" w:hAnsi="仿宋_GB2312" w:cs="仿宋_GB2312"/>
          <w:color w:val="000000" w:themeColor="text1"/>
          <w:szCs w:val="32"/>
          <w14:textFill>
            <w14:solidFill>
              <w14:schemeClr w14:val="tx1"/>
            </w14:solidFill>
          </w14:textFill>
        </w:rPr>
        <w:t>改造老旧小区近200万平方米，</w:t>
      </w:r>
      <w:r>
        <w:rPr>
          <w:rFonts w:hint="eastAsia" w:ascii="仿宋_GB2312" w:hAnsi="仿宋_GB2312" w:cs="仿宋_GB2312"/>
          <w:szCs w:val="32"/>
        </w:rPr>
        <w:t>苗圃新村等95个老旧小区旧貌换新颜。拆除各类危旧废弃建筑物16.6万平方米，建成冠森路、汉中路等立体停车场4座，新建改造城市小道路39条、公厕30座，团结运动公园、龙丰水韵生态园、渭河零起点广场建成开放，新增城市绿化面积630万平方米。全国文明城市、国家卫生城市复审成功、生态园林城市创建高线达标，跻身省级城市生活垃圾分类示范区，为全市唯一。</w:t>
      </w:r>
    </w:p>
    <w:p w14:paraId="0185592D">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社会治理全面提升。</w:t>
      </w:r>
      <w:r>
        <w:rPr>
          <w:rFonts w:hint="eastAsia" w:ascii="仿宋_GB2312" w:hAnsi="仿宋_GB2312" w:eastAsia="仿宋_GB2312" w:cs="仿宋_GB2312"/>
          <w:sz w:val="32"/>
          <w:szCs w:val="32"/>
        </w:rPr>
        <w:t>持续深化社区治理和服务实践，先后荣获“全国社区治理与服务创新实验区”“全国和谐社区建设示范城区”“全国婚俗改革示范区”“全国依法治区创建先进单位”等称号。“七五”普法全面完成，人民调解工作荣获全国先进。民族团结和谐稳定，宗教领域问题整改成效巩固显著。军人军属合法权益得到有效保障。以打造更高水平的平安金台为抓手，公安规范化执法、打击传销等工作走在全省前列，扫黑除恶成绩显著，连续两年获评陕西省“平安区”，获首批“平安铜鼎”。重大风险防范有力，金台农商银行改制成立，政府债务适度可控</w:t>
      </w:r>
      <w:r>
        <w:rPr>
          <w:rFonts w:hint="eastAsia" w:ascii="仿宋_GB2312" w:hAnsi="仿宋_GB2312" w:eastAsia="仿宋_GB2312" w:cs="仿宋_GB2312"/>
          <w:spacing w:val="-2"/>
          <w:sz w:val="32"/>
          <w:szCs w:val="32"/>
        </w:rPr>
        <w:t>，非法集资等违法金融活动得到有效遏制。社会大局和谐稳定，社会安全公众满意率达到99.36%。</w:t>
      </w:r>
    </w:p>
    <w:p w14:paraId="18F33800">
      <w:pPr>
        <w:pStyle w:val="2"/>
        <w:widowControl w:val="0"/>
        <w:spacing w:line="520" w:lineRule="exact"/>
        <w:ind w:firstLine="643" w:firstLineChars="200"/>
        <w:jc w:val="both"/>
        <w:rPr>
          <w:rFonts w:ascii="仿宋_GB2312" w:hAnsi="仿宋_GB2312" w:cs="仿宋_GB2312"/>
          <w:szCs w:val="32"/>
        </w:rPr>
      </w:pPr>
      <w:r>
        <w:rPr>
          <w:rFonts w:hint="eastAsia"/>
          <w:b/>
          <w:szCs w:val="32"/>
        </w:rPr>
        <w:t>民生福祉持续增进。</w:t>
      </w:r>
      <w:r>
        <w:rPr>
          <w:rFonts w:hint="eastAsia" w:ascii="仿宋_GB2312" w:hAnsi="仿宋_GB2312" w:cs="仿宋_GB2312"/>
          <w:color w:val="000000"/>
          <w:szCs w:val="32"/>
        </w:rPr>
        <w:t>脱贫攻坚取得全面胜利，“两不愁三保障”和饮水安全全面达标，</w:t>
      </w:r>
      <w:r>
        <w:rPr>
          <w:rFonts w:hint="eastAsia" w:ascii="仿宋_GB2312" w:hAnsi="仿宋_GB2312" w:cs="仿宋_GB2312"/>
          <w:color w:val="000000"/>
          <w:szCs w:val="32"/>
          <w:lang w:val="zh-CN"/>
        </w:rPr>
        <w:t>7个贫困村</w:t>
      </w:r>
      <w:r>
        <w:rPr>
          <w:rFonts w:hint="eastAsia" w:ascii="仿宋_GB2312" w:hAnsi="仿宋_GB2312" w:cs="仿宋_GB2312"/>
          <w:color w:val="000000"/>
          <w:szCs w:val="32"/>
        </w:rPr>
        <w:t>全部摘帽，</w:t>
      </w:r>
      <w:r>
        <w:rPr>
          <w:rFonts w:hint="eastAsia" w:ascii="仿宋_GB2312" w:hAnsi="仿宋_GB2312" w:cs="仿宋_GB2312"/>
          <w:color w:val="000000"/>
          <w:szCs w:val="32"/>
          <w:lang w:val="zh-CN"/>
        </w:rPr>
        <w:t>4519户13900</w:t>
      </w:r>
      <w:r>
        <w:rPr>
          <w:rFonts w:hint="eastAsia" w:ascii="仿宋_GB2312" w:hAnsi="仿宋_GB2312" w:cs="仿宋_GB2312"/>
          <w:color w:val="000000"/>
          <w:szCs w:val="32"/>
        </w:rPr>
        <w:t>名</w:t>
      </w:r>
      <w:r>
        <w:rPr>
          <w:rFonts w:hint="eastAsia" w:ascii="仿宋_GB2312" w:hAnsi="仿宋_GB2312" w:cs="仿宋_GB2312"/>
          <w:color w:val="000000"/>
          <w:szCs w:val="32"/>
          <w:lang w:val="zh-CN"/>
        </w:rPr>
        <w:t>贫困人口</w:t>
      </w:r>
      <w:r>
        <w:rPr>
          <w:rFonts w:hint="eastAsia" w:ascii="仿宋_GB2312" w:hAnsi="仿宋_GB2312" w:cs="仿宋_GB2312"/>
          <w:szCs w:val="32"/>
        </w:rPr>
        <w:t>如期脱贫，连续三年省级成效考核评价为“好”等次。</w:t>
      </w:r>
      <w:r>
        <w:rPr>
          <w:rFonts w:hint="eastAsia" w:ascii="仿宋_GB2312" w:hAnsi="仿宋_GB2312" w:cs="仿宋_GB2312"/>
          <w:color w:val="000000" w:themeColor="text1"/>
          <w:szCs w:val="32"/>
          <w14:textFill>
            <w14:solidFill>
              <w14:schemeClr w14:val="tx1"/>
            </w14:solidFill>
          </w14:textFill>
        </w:rPr>
        <w:t>坚持人民至上、生命至上，</w:t>
      </w:r>
      <w:r>
        <w:rPr>
          <w:rFonts w:hint="eastAsia" w:ascii="仿宋_GB2312" w:hAnsi="仿宋_GB2312" w:cs="仿宋_GB2312"/>
          <w:szCs w:val="32"/>
        </w:rPr>
        <w:t>及时</w:t>
      </w:r>
      <w:r>
        <w:rPr>
          <w:rFonts w:hint="eastAsia" w:ascii="仿宋_GB2312" w:hAnsi="仿宋_GB2312" w:cs="仿宋_GB2312"/>
          <w:color w:val="000000" w:themeColor="text1"/>
          <w:szCs w:val="32"/>
          <w14:textFill>
            <w14:solidFill>
              <w14:schemeClr w14:val="tx1"/>
            </w14:solidFill>
          </w14:textFill>
        </w:rPr>
        <w:t>有效控制新冠肺炎疫情输入和传播</w:t>
      </w:r>
      <w:r>
        <w:rPr>
          <w:rFonts w:hint="eastAsia" w:ascii="仿宋_GB2312" w:hAnsi="仿宋_GB2312" w:cs="仿宋_GB2312"/>
          <w:szCs w:val="32"/>
        </w:rPr>
        <w:t>。公共卫生体系更加完善，金河镇、蟠龙镇创建为国家级卫生镇，跻身全国基层中医药先进区、省级</w:t>
      </w:r>
      <w:r>
        <w:rPr>
          <w:rFonts w:hint="eastAsia" w:ascii="仿宋_GB2312" w:hAnsi="仿宋_GB2312" w:cs="仿宋_GB2312"/>
          <w:szCs w:val="32"/>
          <w:lang w:eastAsia="zh-CN"/>
        </w:rPr>
        <w:t>慢性病</w:t>
      </w:r>
      <w:r>
        <w:rPr>
          <w:rFonts w:hint="eastAsia" w:ascii="仿宋_GB2312" w:hAnsi="仿宋_GB2312" w:cs="仿宋_GB2312"/>
          <w:szCs w:val="32"/>
        </w:rPr>
        <w:t>综合防控示范区。教育投资创历史新高，总投资11.66亿元，累计实施龙泉小学教学楼等教育项目16个，新石油中学等13个项目建成投用，荣获全省智慧教育示范区、市级教育现代化先进区。全民健身运动蓬勃开展，成功承办全国太极拳公开赛片区赛和总决赛，被命名为“全国老年太极拳之乡”。</w:t>
      </w:r>
      <w:r>
        <w:rPr>
          <w:rFonts w:hint="eastAsia" w:ascii="仿宋_GB2312" w:hAnsi="仿宋_GB2312" w:cs="仿宋_GB2312"/>
          <w:color w:val="000000"/>
          <w:szCs w:val="32"/>
        </w:rPr>
        <w:t>社会保障提标扩面，城乡低保、农村特困人员和临时救助标准大幅提升，社区养老服务设施和农村幸福互助院实现全覆盖。“四社联动”经验在全省推广，跻身全国社区治理和服务创新实验区。被</w:t>
      </w:r>
      <w:r>
        <w:rPr>
          <w:rFonts w:hint="eastAsia" w:ascii="仿宋_GB2312" w:hAnsi="仿宋_GB2312" w:cs="仿宋_GB2312"/>
          <w:color w:val="000000"/>
          <w:szCs w:val="32"/>
          <w:lang w:eastAsia="zh-CN"/>
        </w:rPr>
        <w:t>民政部</w:t>
      </w:r>
      <w:r>
        <w:rPr>
          <w:rFonts w:hint="eastAsia" w:ascii="仿宋_GB2312" w:hAnsi="仿宋_GB2312" w:cs="仿宋_GB2312"/>
          <w:color w:val="000000"/>
          <w:szCs w:val="32"/>
        </w:rPr>
        <w:t>确定为全国婚俗改革实验区，为西北地区唯一。“大众创业、万众创新”蔚然成风，零就业家庭实现动态清零，累计发放创业担保贷款4.62亿元，荣获全省农民工回乡创业示范区。</w:t>
      </w:r>
      <w:r>
        <w:rPr>
          <w:rFonts w:hint="eastAsia" w:ascii="仿宋_GB2312" w:hAnsi="仿宋_GB2312" w:cs="仿宋_GB2312"/>
          <w:szCs w:val="32"/>
        </w:rPr>
        <w:t>年均发放城乡低保等各类救助资金8000万元以上，新增城镇就业9000人以上，转移农村劳动力就业5万人以上，</w:t>
      </w:r>
      <w:r>
        <w:rPr>
          <w:rFonts w:hint="eastAsia" w:ascii="仿宋_GB2312" w:cs="仿宋_GB2312"/>
          <w:szCs w:val="32"/>
        </w:rPr>
        <w:t>城乡居民人均可支配收入分别年均增长</w:t>
      </w:r>
      <w:r>
        <w:rPr>
          <w:rFonts w:ascii="仿宋_GB2312" w:cs="仿宋_GB2312"/>
          <w:szCs w:val="32"/>
        </w:rPr>
        <w:t>7.4%</w:t>
      </w:r>
      <w:r>
        <w:rPr>
          <w:rFonts w:hint="eastAsia" w:ascii="仿宋_GB2312" w:cs="仿宋_GB2312"/>
          <w:szCs w:val="32"/>
        </w:rPr>
        <w:t>、</w:t>
      </w:r>
      <w:r>
        <w:rPr>
          <w:rFonts w:ascii="仿宋_GB2312" w:cs="仿宋_GB2312"/>
          <w:szCs w:val="32"/>
        </w:rPr>
        <w:t>8.5%</w:t>
      </w:r>
      <w:r>
        <w:rPr>
          <w:rFonts w:hint="eastAsia" w:ascii="仿宋_GB2312" w:cs="仿宋_GB2312"/>
          <w:szCs w:val="32"/>
        </w:rPr>
        <w:t>。</w:t>
      </w:r>
    </w:p>
    <w:p w14:paraId="3AEC7DEB">
      <w:pPr>
        <w:topLinePunct/>
        <w:autoSpaceDE w:val="0"/>
        <w:autoSpaceDN w:val="0"/>
        <w:adjustRightInd w:val="0"/>
        <w:snapToGrid w:val="0"/>
        <w:spacing w:line="556"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改革开放不断深入。</w:t>
      </w:r>
      <w:r>
        <w:rPr>
          <w:rFonts w:hint="eastAsia" w:ascii="仿宋_GB2312" w:hAnsi="仿宋_GB2312" w:eastAsia="仿宋_GB2312" w:cs="仿宋_GB2312"/>
          <w:sz w:val="32"/>
          <w:szCs w:val="32"/>
        </w:rPr>
        <w:t>深入推进“放管服”改革，加快相对集中行政许可权改革和“一件事一次办”改革，镇街、村（社区）便民服务中心实现全覆盖，企业和群众到政府办事实现“一窗受理、一章审批、限时办结”。坚持大抓项目、抓好项目，</w:t>
      </w:r>
      <w:r>
        <w:rPr>
          <w:rFonts w:hint="eastAsia" w:ascii="仿宋_GB2312" w:hAnsi="仿宋_GB2312" w:eastAsia="仿宋_GB2312" w:cs="仿宋_GB2312"/>
          <w:color w:val="000000" w:themeColor="text1"/>
          <w:sz w:val="32"/>
          <w:szCs w:val="32"/>
          <w14:textFill>
            <w14:solidFill>
              <w14:schemeClr w14:val="tx1"/>
            </w14:solidFill>
          </w14:textFill>
        </w:rPr>
        <w:t>累计实施</w:t>
      </w:r>
      <w:r>
        <w:rPr>
          <w:rFonts w:hint="eastAsia" w:ascii="仿宋_GB2312" w:hAnsi="Times New Roman" w:eastAsia="仿宋_GB2312" w:cs="仿宋_GB2312"/>
          <w:sz w:val="32"/>
          <w:szCs w:val="32"/>
        </w:rPr>
        <w:t>新东岭城市综合体、</w:t>
      </w:r>
      <w:r>
        <w:rPr>
          <w:rFonts w:hint="eastAsia" w:ascii="仿宋_GB2312" w:hAnsi="仿宋_GB2312" w:eastAsia="仿宋_GB2312" w:cs="仿宋_GB2312"/>
          <w:color w:val="000000" w:themeColor="text1"/>
          <w:sz w:val="32"/>
          <w:szCs w:val="32"/>
          <w14:textFill>
            <w14:solidFill>
              <w14:schemeClr w14:val="tx1"/>
            </w14:solidFill>
          </w14:textFill>
        </w:rPr>
        <w:t>S222西</w:t>
      </w:r>
      <w:r>
        <w:rPr>
          <w:rFonts w:ascii="仿宋_GB2312" w:hAnsi="仿宋_GB2312" w:eastAsia="仿宋_GB2312" w:cs="仿宋_GB2312"/>
          <w:color w:val="000000" w:themeColor="text1"/>
          <w:sz w:val="32"/>
          <w:szCs w:val="32"/>
          <w14:textFill>
            <w14:solidFill>
              <w14:schemeClr w14:val="tx1"/>
            </w14:solidFill>
          </w14:textFill>
        </w:rPr>
        <w:t>过境线、</w:t>
      </w:r>
      <w:r>
        <w:rPr>
          <w:rFonts w:hint="eastAsia" w:ascii="仿宋_GB2312" w:hAnsi="仿宋_GB2312" w:eastAsia="仿宋_GB2312" w:cs="仿宋_GB2312"/>
          <w:color w:val="000000" w:themeColor="text1"/>
          <w:sz w:val="32"/>
          <w:szCs w:val="32"/>
          <w14:textFill>
            <w14:solidFill>
              <w14:schemeClr w14:val="tx1"/>
            </w14:solidFill>
          </w14:textFill>
        </w:rPr>
        <w:t>蟠高快线等重点项目604个，</w:t>
      </w:r>
      <w:r>
        <w:rPr>
          <w:rFonts w:hint="eastAsia" w:ascii="仿宋_GB2312" w:hAnsi="Times New Roman" w:eastAsia="仿宋_GB2312" w:cs="仿宋_GB2312"/>
          <w:sz w:val="32"/>
          <w:szCs w:val="32"/>
        </w:rPr>
        <w:t>总投资</w:t>
      </w:r>
      <w:r>
        <w:rPr>
          <w:rFonts w:ascii="仿宋_GB2312" w:hAnsi="Times New Roman" w:eastAsia="仿宋_GB2312" w:cs="仿宋_GB2312"/>
          <w:sz w:val="32"/>
          <w:szCs w:val="32"/>
        </w:rPr>
        <w:t>1438</w:t>
      </w:r>
      <w:r>
        <w:rPr>
          <w:rFonts w:hint="eastAsia" w:ascii="仿宋_GB2312" w:hAnsi="Times New Roman" w:eastAsia="仿宋_GB2312" w:cs="仿宋_GB2312"/>
          <w:sz w:val="32"/>
          <w:szCs w:val="32"/>
        </w:rPr>
        <w:t>亿元，</w:t>
      </w:r>
      <w:r>
        <w:rPr>
          <w:rFonts w:hint="eastAsia" w:ascii="仿宋_GB2312" w:hAnsi="仿宋_GB2312" w:eastAsia="仿宋_GB2312" w:cs="仿宋_GB2312"/>
          <w:color w:val="000000" w:themeColor="text1"/>
          <w:sz w:val="32"/>
          <w:szCs w:val="32"/>
          <w14:textFill>
            <w14:solidFill>
              <w14:schemeClr w14:val="tx1"/>
            </w14:solidFill>
          </w14:textFill>
        </w:rPr>
        <w:t>固定资产投资年均增长9.54%。</w:t>
      </w:r>
      <w:r>
        <w:rPr>
          <w:rFonts w:hint="eastAsia" w:ascii="仿宋_GB2312" w:hAnsi="仿宋_GB2312" w:eastAsia="仿宋_GB2312" w:cs="仿宋_GB2312"/>
          <w:sz w:val="32"/>
          <w:szCs w:val="32"/>
        </w:rPr>
        <w:t>深入实施“走出去、引进来”战略，积极参加京津冀、陕粤港澳、丝博会、宝鸡发展大会等系列招商活动，扎实开展精准招商，</w:t>
      </w:r>
      <w:r>
        <w:rPr>
          <w:rFonts w:hint="eastAsia" w:ascii="仿宋_GB2312" w:hAnsi="宋体" w:eastAsia="仿宋_GB2312" w:cs="仿宋_GB2312"/>
          <w:color w:val="000000"/>
          <w:sz w:val="32"/>
          <w:szCs w:val="32"/>
        </w:rPr>
        <w:t>成功引进</w:t>
      </w:r>
      <w:r>
        <w:rPr>
          <w:rFonts w:hint="eastAsia" w:ascii="仿宋_GB2312" w:hAnsi="仿宋_GB2312" w:eastAsia="仿宋_GB2312" w:cs="仿宋_GB2312"/>
          <w:sz w:val="32"/>
          <w:szCs w:val="32"/>
        </w:rPr>
        <w:t>华晔工贸等总部企业108户，盈怀鑫苑大都汇</w:t>
      </w:r>
      <w:r>
        <w:rPr>
          <w:rFonts w:hint="eastAsia" w:ascii="仿宋_GB2312" w:hAnsi="宋体" w:eastAsia="仿宋_GB2312" w:cs="仿宋_GB2312"/>
          <w:color w:val="000000"/>
          <w:sz w:val="32"/>
          <w:szCs w:val="32"/>
        </w:rPr>
        <w:t>等303个项目落户我区，招商引资</w:t>
      </w:r>
      <w:r>
        <w:rPr>
          <w:rFonts w:hint="eastAsia" w:ascii="仿宋_GB2312" w:hAnsi="仿宋_GB2312" w:eastAsia="仿宋_GB2312" w:cs="仿宋_GB2312"/>
          <w:sz w:val="32"/>
          <w:szCs w:val="32"/>
        </w:rPr>
        <w:t>到位资金突破</w:t>
      </w:r>
      <w:r>
        <w:rPr>
          <w:rFonts w:hint="eastAsia" w:ascii="仿宋_GB2312" w:hAnsi="仿宋_GB2312" w:eastAsia="仿宋_GB2312" w:cs="仿宋_GB2312"/>
          <w:spacing w:val="-2"/>
          <w:sz w:val="32"/>
          <w:szCs w:val="32"/>
        </w:rPr>
        <w:t>600</w:t>
      </w:r>
      <w:r>
        <w:rPr>
          <w:rFonts w:hint="eastAsia" w:ascii="仿宋_GB2312" w:hAnsi="仿宋_GB2312" w:eastAsia="仿宋_GB2312" w:cs="仿宋_GB2312"/>
          <w:sz w:val="32"/>
          <w:szCs w:val="32"/>
        </w:rPr>
        <w:t>亿元。</w:t>
      </w:r>
    </w:p>
    <w:p w14:paraId="39F2D7CD">
      <w:pPr>
        <w:pStyle w:val="2"/>
        <w:rPr>
          <w:rFonts w:ascii="仿宋_GB2312" w:hAnsi="仿宋_GB2312" w:cs="仿宋_GB2312"/>
          <w:szCs w:val="32"/>
        </w:rPr>
      </w:pPr>
    </w:p>
    <w:p w14:paraId="543E3F95">
      <w:pPr>
        <w:pStyle w:val="2"/>
        <w:rPr>
          <w:rFonts w:ascii="仿宋_GB2312" w:hAnsi="仿宋_GB2312" w:cs="仿宋_GB2312"/>
          <w:szCs w:val="32"/>
        </w:rPr>
      </w:pPr>
    </w:p>
    <w:p w14:paraId="6FA16E80">
      <w:pPr>
        <w:pStyle w:val="2"/>
        <w:rPr>
          <w:rFonts w:ascii="仿宋_GB2312" w:hAnsi="仿宋_GB2312" w:cs="仿宋_GB2312"/>
          <w:szCs w:val="32"/>
        </w:rPr>
      </w:pPr>
    </w:p>
    <w:p w14:paraId="6BC0C960">
      <w:pPr>
        <w:widowControl w:val="0"/>
        <w:adjustRightInd w:val="0"/>
        <w:snapToGrid w:val="0"/>
        <w:spacing w:line="560" w:lineRule="exact"/>
        <w:jc w:val="center"/>
        <w:rPr>
          <w:rFonts w:ascii="Times New Roman" w:hAnsi="Times New Roman" w:eastAsia="黑体"/>
          <w:sz w:val="28"/>
          <w:szCs w:val="28"/>
        </w:rPr>
      </w:pPr>
      <w:r>
        <w:rPr>
          <w:rFonts w:hint="eastAsia" w:ascii="Times New Roman" w:hAnsi="Times New Roman" w:eastAsia="黑体"/>
          <w:sz w:val="28"/>
          <w:szCs w:val="28"/>
        </w:rPr>
        <w:t>金台区“十三五”规划主要指标完成情况</w:t>
      </w:r>
    </w:p>
    <w:tbl>
      <w:tblPr>
        <w:tblStyle w:val="29"/>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57" w:type="dxa"/>
          <w:bottom w:w="0" w:type="dxa"/>
          <w:right w:w="57" w:type="dxa"/>
        </w:tblCellMar>
      </w:tblPr>
      <w:tblGrid>
        <w:gridCol w:w="715"/>
        <w:gridCol w:w="862"/>
        <w:gridCol w:w="1731"/>
        <w:gridCol w:w="2292"/>
        <w:gridCol w:w="1437"/>
        <w:gridCol w:w="1149"/>
        <w:gridCol w:w="773"/>
      </w:tblGrid>
      <w:tr w14:paraId="1DE9F5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tblHeader/>
          <w:jc w:val="center"/>
        </w:trPr>
        <w:tc>
          <w:tcPr>
            <w:tcW w:w="399" w:type="pct"/>
            <w:vAlign w:val="center"/>
          </w:tcPr>
          <w:p w14:paraId="30ACDF72">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序号</w:t>
            </w:r>
          </w:p>
        </w:tc>
        <w:tc>
          <w:tcPr>
            <w:tcW w:w="481" w:type="pct"/>
            <w:vAlign w:val="center"/>
          </w:tcPr>
          <w:p w14:paraId="55A970AE">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类别</w:t>
            </w:r>
          </w:p>
        </w:tc>
        <w:tc>
          <w:tcPr>
            <w:tcW w:w="2245" w:type="pct"/>
            <w:gridSpan w:val="2"/>
            <w:vAlign w:val="center"/>
          </w:tcPr>
          <w:p w14:paraId="6EAED790">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指标名称</w:t>
            </w:r>
          </w:p>
        </w:tc>
        <w:tc>
          <w:tcPr>
            <w:tcW w:w="802" w:type="pct"/>
            <w:vAlign w:val="center"/>
          </w:tcPr>
          <w:p w14:paraId="094BF488">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lang w:eastAsia="zh-CN"/>
              </w:rPr>
              <w:t>“十三五”规划</w:t>
            </w:r>
            <w:r>
              <w:rPr>
                <w:rFonts w:hint="eastAsia" w:ascii="Times New Roman" w:hAnsi="Times New Roman" w:cs="宋体"/>
                <w:b/>
                <w:kern w:val="0"/>
                <w:sz w:val="18"/>
                <w:szCs w:val="18"/>
              </w:rPr>
              <w:t>目标</w:t>
            </w:r>
          </w:p>
        </w:tc>
        <w:tc>
          <w:tcPr>
            <w:tcW w:w="641" w:type="pct"/>
            <w:vAlign w:val="center"/>
          </w:tcPr>
          <w:p w14:paraId="0570D0EC">
            <w:pPr>
              <w:autoSpaceDE w:val="0"/>
              <w:autoSpaceDN w:val="0"/>
              <w:adjustRightInd w:val="0"/>
              <w:snapToGrid w:val="0"/>
              <w:jc w:val="center"/>
              <w:rPr>
                <w:rFonts w:ascii="Times New Roman" w:hAnsi="Times New Roman" w:cs="宋体"/>
                <w:b/>
                <w:kern w:val="0"/>
                <w:sz w:val="18"/>
                <w:szCs w:val="18"/>
              </w:rPr>
            </w:pPr>
            <w:r>
              <w:rPr>
                <w:rFonts w:ascii="Times New Roman" w:hAnsi="Times New Roman" w:cs="宋体"/>
                <w:b/>
                <w:kern w:val="0"/>
                <w:sz w:val="18"/>
                <w:szCs w:val="18"/>
              </w:rPr>
              <w:t>2020</w:t>
            </w:r>
            <w:r>
              <w:rPr>
                <w:rFonts w:hint="eastAsia" w:ascii="Times New Roman" w:hAnsi="Times New Roman" w:cs="宋体"/>
                <w:b/>
                <w:kern w:val="0"/>
                <w:sz w:val="18"/>
                <w:szCs w:val="18"/>
              </w:rPr>
              <w:t>年</w:t>
            </w:r>
          </w:p>
        </w:tc>
        <w:tc>
          <w:tcPr>
            <w:tcW w:w="431" w:type="pct"/>
            <w:vAlign w:val="center"/>
          </w:tcPr>
          <w:p w14:paraId="3D7A4BF0">
            <w:pPr>
              <w:autoSpaceDE w:val="0"/>
              <w:autoSpaceDN w:val="0"/>
              <w:adjustRightInd w:val="0"/>
              <w:snapToGrid w:val="0"/>
              <w:jc w:val="center"/>
              <w:rPr>
                <w:rFonts w:ascii="Times New Roman" w:hAnsi="Times New Roman" w:cs="宋体"/>
                <w:b/>
                <w:kern w:val="0"/>
                <w:sz w:val="18"/>
                <w:szCs w:val="18"/>
              </w:rPr>
            </w:pPr>
            <w:r>
              <w:rPr>
                <w:rFonts w:hint="eastAsia" w:ascii="Times New Roman" w:hAnsi="Times New Roman" w:cs="宋体"/>
                <w:b/>
                <w:kern w:val="0"/>
                <w:sz w:val="18"/>
                <w:szCs w:val="18"/>
              </w:rPr>
              <w:t>属性</w:t>
            </w:r>
          </w:p>
        </w:tc>
      </w:tr>
      <w:tr w14:paraId="11A276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72929F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w:t>
            </w:r>
          </w:p>
        </w:tc>
        <w:tc>
          <w:tcPr>
            <w:tcW w:w="481" w:type="pct"/>
            <w:vMerge w:val="restart"/>
            <w:vAlign w:val="center"/>
          </w:tcPr>
          <w:p w14:paraId="36329F8F">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经济发展</w:t>
            </w:r>
          </w:p>
        </w:tc>
        <w:tc>
          <w:tcPr>
            <w:tcW w:w="2245" w:type="pct"/>
            <w:gridSpan w:val="2"/>
            <w:vAlign w:val="center"/>
          </w:tcPr>
          <w:p w14:paraId="71917AB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地区生产总值（亿元）</w:t>
            </w:r>
          </w:p>
        </w:tc>
        <w:tc>
          <w:tcPr>
            <w:tcW w:w="802" w:type="pct"/>
            <w:vAlign w:val="center"/>
          </w:tcPr>
          <w:p w14:paraId="5A281BB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457</w:t>
            </w:r>
          </w:p>
        </w:tc>
        <w:tc>
          <w:tcPr>
            <w:tcW w:w="641" w:type="pct"/>
            <w:vAlign w:val="center"/>
          </w:tcPr>
          <w:p w14:paraId="6CFFBBA3">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362.5</w:t>
            </w:r>
          </w:p>
        </w:tc>
        <w:tc>
          <w:tcPr>
            <w:tcW w:w="431" w:type="pct"/>
            <w:vAlign w:val="center"/>
          </w:tcPr>
          <w:p w14:paraId="7E3B0E9C">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3CB53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D9788D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w:t>
            </w:r>
          </w:p>
        </w:tc>
        <w:tc>
          <w:tcPr>
            <w:tcW w:w="481" w:type="pct"/>
            <w:vMerge w:val="continue"/>
            <w:vAlign w:val="center"/>
          </w:tcPr>
          <w:p w14:paraId="33D42F78">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5DDDA1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全社会固定资产投资（亿元）</w:t>
            </w:r>
          </w:p>
        </w:tc>
        <w:tc>
          <w:tcPr>
            <w:tcW w:w="802" w:type="pct"/>
            <w:vAlign w:val="center"/>
          </w:tcPr>
          <w:p w14:paraId="6D42166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712</w:t>
            </w:r>
          </w:p>
        </w:tc>
        <w:tc>
          <w:tcPr>
            <w:tcW w:w="641" w:type="pct"/>
            <w:vAlign w:val="center"/>
          </w:tcPr>
          <w:p w14:paraId="4FD7BF1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277.4</w:t>
            </w:r>
          </w:p>
        </w:tc>
        <w:tc>
          <w:tcPr>
            <w:tcW w:w="431" w:type="pct"/>
            <w:vAlign w:val="center"/>
          </w:tcPr>
          <w:p w14:paraId="0B119FB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B337D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29EBE8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w:t>
            </w:r>
          </w:p>
        </w:tc>
        <w:tc>
          <w:tcPr>
            <w:tcW w:w="481" w:type="pct"/>
            <w:vMerge w:val="continue"/>
            <w:vAlign w:val="center"/>
          </w:tcPr>
          <w:p w14:paraId="77064391">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04D7544B">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财税总收入（亿元）</w:t>
            </w:r>
          </w:p>
        </w:tc>
        <w:tc>
          <w:tcPr>
            <w:tcW w:w="802" w:type="pct"/>
            <w:vAlign w:val="center"/>
          </w:tcPr>
          <w:p w14:paraId="71C0E9A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18.5</w:t>
            </w:r>
          </w:p>
        </w:tc>
        <w:tc>
          <w:tcPr>
            <w:tcW w:w="641" w:type="pct"/>
            <w:vAlign w:val="center"/>
          </w:tcPr>
          <w:p w14:paraId="27CD634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14.7</w:t>
            </w:r>
          </w:p>
        </w:tc>
        <w:tc>
          <w:tcPr>
            <w:tcW w:w="431" w:type="pct"/>
            <w:vAlign w:val="center"/>
          </w:tcPr>
          <w:p w14:paraId="761062D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572710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9D628D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81" w:type="pct"/>
            <w:vMerge w:val="continue"/>
            <w:vAlign w:val="center"/>
          </w:tcPr>
          <w:p w14:paraId="281066BD">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79CD54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地方财政收入（亿元）</w:t>
            </w:r>
          </w:p>
        </w:tc>
        <w:tc>
          <w:tcPr>
            <w:tcW w:w="802" w:type="pct"/>
            <w:vAlign w:val="center"/>
          </w:tcPr>
          <w:p w14:paraId="20A318C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6.5</w:t>
            </w:r>
          </w:p>
        </w:tc>
        <w:tc>
          <w:tcPr>
            <w:tcW w:w="641" w:type="pct"/>
            <w:vAlign w:val="center"/>
          </w:tcPr>
          <w:p w14:paraId="13D7634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0093AAC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5EBF1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4D980B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81" w:type="pct"/>
            <w:vMerge w:val="continue"/>
            <w:vAlign w:val="center"/>
          </w:tcPr>
          <w:p w14:paraId="59D1AAC3">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5C2940C">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全社会消费品零售总额（亿元）</w:t>
            </w:r>
          </w:p>
        </w:tc>
        <w:tc>
          <w:tcPr>
            <w:tcW w:w="802" w:type="pct"/>
            <w:vAlign w:val="center"/>
          </w:tcPr>
          <w:p w14:paraId="42A0E35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250</w:t>
            </w:r>
          </w:p>
        </w:tc>
        <w:tc>
          <w:tcPr>
            <w:tcW w:w="641" w:type="pct"/>
            <w:vAlign w:val="center"/>
          </w:tcPr>
          <w:p w14:paraId="5011798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159.6</w:t>
            </w:r>
          </w:p>
        </w:tc>
        <w:tc>
          <w:tcPr>
            <w:tcW w:w="431" w:type="pct"/>
            <w:vAlign w:val="center"/>
          </w:tcPr>
          <w:p w14:paraId="40BDB64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17E31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033506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481" w:type="pct"/>
            <w:vMerge w:val="continue"/>
            <w:vAlign w:val="center"/>
          </w:tcPr>
          <w:p w14:paraId="671CCCFD">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B884D6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规模以上工业增加值（亿元）</w:t>
            </w:r>
          </w:p>
        </w:tc>
        <w:tc>
          <w:tcPr>
            <w:tcW w:w="802" w:type="pct"/>
            <w:vAlign w:val="center"/>
          </w:tcPr>
          <w:p w14:paraId="37719BF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215</w:t>
            </w:r>
          </w:p>
        </w:tc>
        <w:tc>
          <w:tcPr>
            <w:tcW w:w="641" w:type="pct"/>
            <w:vAlign w:val="center"/>
          </w:tcPr>
          <w:p w14:paraId="7BAC989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173.2</w:t>
            </w:r>
          </w:p>
        </w:tc>
        <w:tc>
          <w:tcPr>
            <w:tcW w:w="431" w:type="pct"/>
            <w:vAlign w:val="center"/>
          </w:tcPr>
          <w:p w14:paraId="45A629E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296E2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E84F9C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w:t>
            </w:r>
          </w:p>
        </w:tc>
        <w:tc>
          <w:tcPr>
            <w:tcW w:w="481" w:type="pct"/>
            <w:vMerge w:val="continue"/>
            <w:vAlign w:val="center"/>
          </w:tcPr>
          <w:p w14:paraId="0AEE4AB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1B244AA">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外贸进出口总额（亿元）</w:t>
            </w:r>
          </w:p>
        </w:tc>
        <w:tc>
          <w:tcPr>
            <w:tcW w:w="802" w:type="pct"/>
            <w:vAlign w:val="center"/>
          </w:tcPr>
          <w:p w14:paraId="6F3450E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6.15</w:t>
            </w:r>
          </w:p>
        </w:tc>
        <w:tc>
          <w:tcPr>
            <w:tcW w:w="641" w:type="pct"/>
            <w:vAlign w:val="center"/>
          </w:tcPr>
          <w:p w14:paraId="3BCDA52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w:t>
            </w:r>
          </w:p>
        </w:tc>
        <w:tc>
          <w:tcPr>
            <w:tcW w:w="431" w:type="pct"/>
            <w:vAlign w:val="center"/>
          </w:tcPr>
          <w:p w14:paraId="2ABB394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FD855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F38F0E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w:t>
            </w:r>
          </w:p>
        </w:tc>
        <w:tc>
          <w:tcPr>
            <w:tcW w:w="481" w:type="pct"/>
            <w:vMerge w:val="restart"/>
            <w:vAlign w:val="center"/>
          </w:tcPr>
          <w:p w14:paraId="72DDBA5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创新驱动</w:t>
            </w:r>
          </w:p>
        </w:tc>
        <w:tc>
          <w:tcPr>
            <w:tcW w:w="2245" w:type="pct"/>
            <w:gridSpan w:val="2"/>
            <w:vAlign w:val="center"/>
          </w:tcPr>
          <w:p w14:paraId="2C665EC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科技进步贡献率（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0C8509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60</w:t>
            </w:r>
          </w:p>
        </w:tc>
        <w:tc>
          <w:tcPr>
            <w:tcW w:w="641" w:type="pct"/>
            <w:vAlign w:val="center"/>
          </w:tcPr>
          <w:p w14:paraId="2EB6FC8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61</w:t>
            </w:r>
          </w:p>
        </w:tc>
        <w:tc>
          <w:tcPr>
            <w:tcW w:w="431" w:type="pct"/>
            <w:vAlign w:val="center"/>
          </w:tcPr>
          <w:p w14:paraId="29FB8DE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78931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08B68F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w:t>
            </w:r>
          </w:p>
        </w:tc>
        <w:tc>
          <w:tcPr>
            <w:tcW w:w="481" w:type="pct"/>
            <w:vMerge w:val="continue"/>
            <w:vAlign w:val="center"/>
          </w:tcPr>
          <w:p w14:paraId="635E35FB">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51615D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研究与发展经费占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ECA66D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641" w:type="pct"/>
            <w:vAlign w:val="center"/>
          </w:tcPr>
          <w:p w14:paraId="2689FA1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31" w:type="pct"/>
            <w:vAlign w:val="center"/>
          </w:tcPr>
          <w:p w14:paraId="050750F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FFD99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DEC8B0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81" w:type="pct"/>
            <w:vMerge w:val="continue"/>
            <w:vAlign w:val="center"/>
          </w:tcPr>
          <w:p w14:paraId="149D6CB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C2FBCF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大中型企业</w:t>
            </w:r>
            <w:r>
              <w:rPr>
                <w:rFonts w:ascii="Times New Roman" w:hAnsi="Times New Roman" w:cs="宋体"/>
                <w:kern w:val="0"/>
                <w:sz w:val="18"/>
                <w:szCs w:val="18"/>
              </w:rPr>
              <w:t>R&amp;D</w:t>
            </w:r>
            <w:r>
              <w:rPr>
                <w:rFonts w:hint="eastAsia" w:ascii="Times New Roman" w:hAnsi="Times New Roman" w:cs="宋体"/>
                <w:kern w:val="0"/>
                <w:sz w:val="18"/>
                <w:szCs w:val="18"/>
              </w:rPr>
              <w:t>占主营业务收入比重（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626C69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w:t>
            </w:r>
          </w:p>
        </w:tc>
        <w:tc>
          <w:tcPr>
            <w:tcW w:w="641" w:type="pct"/>
            <w:vAlign w:val="center"/>
          </w:tcPr>
          <w:p w14:paraId="5B616EF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2.61</w:t>
            </w:r>
          </w:p>
        </w:tc>
        <w:tc>
          <w:tcPr>
            <w:tcW w:w="431" w:type="pct"/>
            <w:vAlign w:val="center"/>
          </w:tcPr>
          <w:p w14:paraId="62E98C9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AD8B5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74469C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11</w:t>
            </w:r>
          </w:p>
        </w:tc>
        <w:tc>
          <w:tcPr>
            <w:tcW w:w="481" w:type="pct"/>
            <w:vMerge w:val="continue"/>
            <w:vAlign w:val="center"/>
          </w:tcPr>
          <w:p w14:paraId="37710CF8">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12C0584">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高新技术企业数（家）</w:t>
            </w:r>
          </w:p>
        </w:tc>
        <w:tc>
          <w:tcPr>
            <w:tcW w:w="802" w:type="pct"/>
            <w:vAlign w:val="center"/>
          </w:tcPr>
          <w:p w14:paraId="2676629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641" w:type="pct"/>
            <w:vAlign w:val="center"/>
          </w:tcPr>
          <w:p w14:paraId="1EEFA8D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31" w:type="pct"/>
            <w:vAlign w:val="center"/>
          </w:tcPr>
          <w:p w14:paraId="608A98A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预期新</w:t>
            </w:r>
          </w:p>
        </w:tc>
      </w:tr>
      <w:tr w14:paraId="6631C1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F9644E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81" w:type="pct"/>
            <w:vMerge w:val="continue"/>
            <w:vAlign w:val="center"/>
          </w:tcPr>
          <w:p w14:paraId="1475A837">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3AC23D0F">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高技术产业增加值占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7DCFE42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641" w:type="pct"/>
            <w:vAlign w:val="center"/>
          </w:tcPr>
          <w:p w14:paraId="41CFD21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431" w:type="pct"/>
            <w:vAlign w:val="center"/>
          </w:tcPr>
          <w:p w14:paraId="17480272">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7FD4D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95D2CE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13</w:t>
            </w:r>
          </w:p>
        </w:tc>
        <w:tc>
          <w:tcPr>
            <w:tcW w:w="481" w:type="pct"/>
            <w:vMerge w:val="continue"/>
            <w:vAlign w:val="center"/>
          </w:tcPr>
          <w:p w14:paraId="4C2741AE">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9EB538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每百万人口专利授权量（件）</w:t>
            </w:r>
          </w:p>
        </w:tc>
        <w:tc>
          <w:tcPr>
            <w:tcW w:w="802" w:type="pct"/>
            <w:vAlign w:val="center"/>
          </w:tcPr>
          <w:p w14:paraId="13B5FD5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500</w:t>
            </w:r>
          </w:p>
        </w:tc>
        <w:tc>
          <w:tcPr>
            <w:tcW w:w="641" w:type="pct"/>
            <w:vAlign w:val="center"/>
          </w:tcPr>
          <w:p w14:paraId="6B9A613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800</w:t>
            </w:r>
          </w:p>
        </w:tc>
        <w:tc>
          <w:tcPr>
            <w:tcW w:w="431" w:type="pct"/>
            <w:vAlign w:val="center"/>
          </w:tcPr>
          <w:p w14:paraId="1B9C680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15891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45F49B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14</w:t>
            </w:r>
          </w:p>
        </w:tc>
        <w:tc>
          <w:tcPr>
            <w:tcW w:w="481" w:type="pct"/>
            <w:vMerge w:val="restart"/>
            <w:vAlign w:val="center"/>
          </w:tcPr>
          <w:p w14:paraId="6804CE75">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结构升级</w:t>
            </w:r>
          </w:p>
        </w:tc>
        <w:tc>
          <w:tcPr>
            <w:tcW w:w="2245" w:type="pct"/>
            <w:gridSpan w:val="2"/>
            <w:vAlign w:val="center"/>
          </w:tcPr>
          <w:p w14:paraId="13CE842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三次产业结构</w:t>
            </w:r>
          </w:p>
        </w:tc>
        <w:tc>
          <w:tcPr>
            <w:tcW w:w="802" w:type="pct"/>
            <w:vAlign w:val="center"/>
          </w:tcPr>
          <w:p w14:paraId="314748C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0.7:61.3:38</w:t>
            </w:r>
          </w:p>
        </w:tc>
        <w:tc>
          <w:tcPr>
            <w:tcW w:w="641" w:type="pct"/>
            <w:vAlign w:val="center"/>
          </w:tcPr>
          <w:p w14:paraId="15D3FC9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0.8</w:t>
            </w:r>
            <w:r>
              <w:rPr>
                <w:rFonts w:hint="eastAsia" w:ascii="Times New Roman" w:hAnsi="Times New Roman" w:cs="宋体"/>
                <w:kern w:val="0"/>
                <w:sz w:val="18"/>
                <w:szCs w:val="18"/>
              </w:rPr>
              <w:t>:5</w:t>
            </w:r>
            <w:r>
              <w:rPr>
                <w:rFonts w:ascii="Times New Roman" w:hAnsi="Times New Roman" w:cs="宋体"/>
                <w:kern w:val="0"/>
                <w:sz w:val="18"/>
                <w:szCs w:val="18"/>
              </w:rPr>
              <w:t>8.8</w:t>
            </w:r>
            <w:r>
              <w:rPr>
                <w:rFonts w:hint="eastAsia" w:ascii="Times New Roman" w:hAnsi="Times New Roman" w:cs="宋体"/>
                <w:kern w:val="0"/>
                <w:sz w:val="18"/>
                <w:szCs w:val="18"/>
              </w:rPr>
              <w:t>:4</w:t>
            </w:r>
            <w:r>
              <w:rPr>
                <w:rFonts w:ascii="Times New Roman" w:hAnsi="Times New Roman" w:cs="宋体"/>
                <w:kern w:val="0"/>
                <w:sz w:val="18"/>
                <w:szCs w:val="18"/>
              </w:rPr>
              <w:t>0.4</w:t>
            </w:r>
          </w:p>
        </w:tc>
        <w:tc>
          <w:tcPr>
            <w:tcW w:w="431" w:type="pct"/>
            <w:vAlign w:val="center"/>
          </w:tcPr>
          <w:p w14:paraId="476E5B8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0F31B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6663C6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481" w:type="pct"/>
            <w:vMerge w:val="continue"/>
            <w:vAlign w:val="center"/>
          </w:tcPr>
          <w:p w14:paraId="777A1A6C">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2170729">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服务业增加值占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AED172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38</w:t>
            </w:r>
          </w:p>
        </w:tc>
        <w:tc>
          <w:tcPr>
            <w:tcW w:w="641" w:type="pct"/>
            <w:vAlign w:val="center"/>
          </w:tcPr>
          <w:p w14:paraId="23A86B6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40.4</w:t>
            </w:r>
          </w:p>
        </w:tc>
        <w:tc>
          <w:tcPr>
            <w:tcW w:w="431" w:type="pct"/>
            <w:vAlign w:val="center"/>
          </w:tcPr>
          <w:p w14:paraId="390C264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0712F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637BC5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w:t>
            </w:r>
          </w:p>
        </w:tc>
        <w:tc>
          <w:tcPr>
            <w:tcW w:w="481" w:type="pct"/>
            <w:vMerge w:val="continue"/>
            <w:vAlign w:val="center"/>
          </w:tcPr>
          <w:p w14:paraId="6FA5892B">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67F5B96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文化产业增加值占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3E1638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30D0C7F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431" w:type="pct"/>
            <w:vAlign w:val="center"/>
          </w:tcPr>
          <w:p w14:paraId="46F8FF6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A7297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ED4604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17</w:t>
            </w:r>
          </w:p>
        </w:tc>
        <w:tc>
          <w:tcPr>
            <w:tcW w:w="481" w:type="pct"/>
            <w:vMerge w:val="continue"/>
            <w:vAlign w:val="center"/>
          </w:tcPr>
          <w:p w14:paraId="032EB94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246AAE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非公经济增加值占</w:t>
            </w:r>
            <w:r>
              <w:rPr>
                <w:rFonts w:ascii="Times New Roman" w:hAnsi="Times New Roman" w:cs="宋体"/>
                <w:kern w:val="0"/>
                <w:sz w:val="18"/>
                <w:szCs w:val="18"/>
              </w:rPr>
              <w:t>GDP</w:t>
            </w:r>
            <w:r>
              <w:rPr>
                <w:rFonts w:hint="eastAsia" w:ascii="Times New Roman" w:hAnsi="Times New Roman" w:cs="宋体"/>
                <w:kern w:val="0"/>
                <w:sz w:val="18"/>
                <w:szCs w:val="18"/>
              </w:rPr>
              <w:t>比重（</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431956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50</w:t>
            </w:r>
          </w:p>
        </w:tc>
        <w:tc>
          <w:tcPr>
            <w:tcW w:w="641" w:type="pct"/>
            <w:vAlign w:val="center"/>
          </w:tcPr>
          <w:p w14:paraId="194E88B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46.2</w:t>
            </w:r>
          </w:p>
        </w:tc>
        <w:tc>
          <w:tcPr>
            <w:tcW w:w="431" w:type="pct"/>
            <w:vAlign w:val="center"/>
          </w:tcPr>
          <w:p w14:paraId="156251C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83704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8D93AF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18</w:t>
            </w:r>
          </w:p>
        </w:tc>
        <w:tc>
          <w:tcPr>
            <w:tcW w:w="481" w:type="pct"/>
            <w:vMerge w:val="continue"/>
            <w:vAlign w:val="center"/>
          </w:tcPr>
          <w:p w14:paraId="354D10FF">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AFFD27A">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95E328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90</w:t>
            </w:r>
          </w:p>
        </w:tc>
        <w:tc>
          <w:tcPr>
            <w:tcW w:w="641" w:type="pct"/>
            <w:vAlign w:val="center"/>
          </w:tcPr>
          <w:p w14:paraId="41780E9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88.43</w:t>
            </w:r>
          </w:p>
        </w:tc>
        <w:tc>
          <w:tcPr>
            <w:tcW w:w="431" w:type="pct"/>
            <w:vAlign w:val="center"/>
          </w:tcPr>
          <w:p w14:paraId="6912DC4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9D9EC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FDFE5F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19</w:t>
            </w:r>
          </w:p>
        </w:tc>
        <w:tc>
          <w:tcPr>
            <w:tcW w:w="481" w:type="pct"/>
            <w:vMerge w:val="restart"/>
            <w:vAlign w:val="center"/>
          </w:tcPr>
          <w:p w14:paraId="7855E902">
            <w:pPr>
              <w:autoSpaceDE w:val="0"/>
              <w:autoSpaceDN w:val="0"/>
              <w:adjustRightInd w:val="0"/>
              <w:snapToGrid w:val="0"/>
              <w:jc w:val="center"/>
              <w:rPr>
                <w:rFonts w:ascii="Times New Roman" w:hAnsi="Times New Roman"/>
                <w:kern w:val="0"/>
                <w:sz w:val="18"/>
                <w:szCs w:val="18"/>
              </w:rPr>
            </w:pPr>
            <w:r>
              <w:rPr>
                <w:rFonts w:hint="eastAsia" w:ascii="Times New Roman" w:hAnsi="Times New Roman" w:cs="宋体"/>
                <w:kern w:val="0"/>
                <w:sz w:val="18"/>
                <w:szCs w:val="18"/>
              </w:rPr>
              <w:t>民生福祉</w:t>
            </w:r>
          </w:p>
        </w:tc>
        <w:tc>
          <w:tcPr>
            <w:tcW w:w="2245" w:type="pct"/>
            <w:gridSpan w:val="2"/>
            <w:vAlign w:val="center"/>
          </w:tcPr>
          <w:p w14:paraId="176662B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人口自然增长率（‰）</w:t>
            </w:r>
          </w:p>
        </w:tc>
        <w:tc>
          <w:tcPr>
            <w:tcW w:w="802" w:type="pct"/>
            <w:vAlign w:val="center"/>
          </w:tcPr>
          <w:p w14:paraId="1CDFC71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6-7</w:t>
            </w:r>
          </w:p>
        </w:tc>
        <w:tc>
          <w:tcPr>
            <w:tcW w:w="641" w:type="pct"/>
            <w:vAlign w:val="center"/>
          </w:tcPr>
          <w:p w14:paraId="24D3754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w:t>
            </w:r>
          </w:p>
        </w:tc>
        <w:tc>
          <w:tcPr>
            <w:tcW w:w="431" w:type="pct"/>
            <w:vAlign w:val="center"/>
          </w:tcPr>
          <w:p w14:paraId="1271B4E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1AF5A9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32AEEF4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20</w:t>
            </w:r>
          </w:p>
        </w:tc>
        <w:tc>
          <w:tcPr>
            <w:tcW w:w="481" w:type="pct"/>
            <w:vMerge w:val="continue"/>
            <w:vAlign w:val="center"/>
          </w:tcPr>
          <w:p w14:paraId="617B3F9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9275DFC">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城镇调查失业率（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4D6F82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62A05A3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w:t>
            </w:r>
          </w:p>
        </w:tc>
        <w:tc>
          <w:tcPr>
            <w:tcW w:w="431" w:type="pct"/>
            <w:vAlign w:val="center"/>
          </w:tcPr>
          <w:p w14:paraId="67F8568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61D81B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4A9612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21</w:t>
            </w:r>
          </w:p>
        </w:tc>
        <w:tc>
          <w:tcPr>
            <w:tcW w:w="481" w:type="pct"/>
            <w:vMerge w:val="continue"/>
            <w:vAlign w:val="center"/>
          </w:tcPr>
          <w:p w14:paraId="14A13FF6">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468013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城镇居民人均可支配收入（元）</w:t>
            </w:r>
          </w:p>
        </w:tc>
        <w:tc>
          <w:tcPr>
            <w:tcW w:w="802" w:type="pct"/>
            <w:vAlign w:val="center"/>
          </w:tcPr>
          <w:p w14:paraId="582343D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45396</w:t>
            </w:r>
          </w:p>
        </w:tc>
        <w:tc>
          <w:tcPr>
            <w:tcW w:w="641" w:type="pct"/>
            <w:vAlign w:val="center"/>
          </w:tcPr>
          <w:p w14:paraId="2A51936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37823</w:t>
            </w:r>
          </w:p>
        </w:tc>
        <w:tc>
          <w:tcPr>
            <w:tcW w:w="431" w:type="pct"/>
            <w:vAlign w:val="center"/>
          </w:tcPr>
          <w:p w14:paraId="4119419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7D27B4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7CA7610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22</w:t>
            </w:r>
          </w:p>
        </w:tc>
        <w:tc>
          <w:tcPr>
            <w:tcW w:w="481" w:type="pct"/>
            <w:vMerge w:val="continue"/>
            <w:vAlign w:val="center"/>
          </w:tcPr>
          <w:p w14:paraId="2DACA65C">
            <w:pPr>
              <w:autoSpaceDE w:val="0"/>
              <w:autoSpaceDN w:val="0"/>
              <w:adjustRightInd w:val="0"/>
              <w:snapToGrid w:val="0"/>
              <w:jc w:val="center"/>
              <w:rPr>
                <w:rFonts w:ascii="Times New Roman" w:hAnsi="Times New Roman" w:cs="宋体"/>
                <w:kern w:val="0"/>
                <w:sz w:val="18"/>
                <w:szCs w:val="18"/>
              </w:rPr>
            </w:pPr>
          </w:p>
        </w:tc>
        <w:tc>
          <w:tcPr>
            <w:tcW w:w="2245" w:type="pct"/>
            <w:gridSpan w:val="2"/>
            <w:vAlign w:val="center"/>
          </w:tcPr>
          <w:p w14:paraId="34E26BEB">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农村居民人均可支配收入（元）</w:t>
            </w:r>
          </w:p>
        </w:tc>
        <w:tc>
          <w:tcPr>
            <w:tcW w:w="802" w:type="pct"/>
            <w:vAlign w:val="center"/>
          </w:tcPr>
          <w:p w14:paraId="1AA269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16020</w:t>
            </w:r>
          </w:p>
        </w:tc>
        <w:tc>
          <w:tcPr>
            <w:tcW w:w="641" w:type="pct"/>
            <w:vAlign w:val="center"/>
          </w:tcPr>
          <w:p w14:paraId="7F187F78">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15890</w:t>
            </w:r>
          </w:p>
        </w:tc>
        <w:tc>
          <w:tcPr>
            <w:tcW w:w="431" w:type="pct"/>
            <w:vAlign w:val="center"/>
          </w:tcPr>
          <w:p w14:paraId="346CA3E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C8925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4FA22F1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23</w:t>
            </w:r>
          </w:p>
        </w:tc>
        <w:tc>
          <w:tcPr>
            <w:tcW w:w="481" w:type="pct"/>
            <w:vMerge w:val="continue"/>
            <w:vAlign w:val="center"/>
          </w:tcPr>
          <w:p w14:paraId="36701814">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543586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城乡居民收入比</w:t>
            </w:r>
          </w:p>
        </w:tc>
        <w:tc>
          <w:tcPr>
            <w:tcW w:w="802" w:type="pct"/>
            <w:vAlign w:val="center"/>
          </w:tcPr>
          <w:p w14:paraId="2C3E78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2.76:1</w:t>
            </w:r>
          </w:p>
        </w:tc>
        <w:tc>
          <w:tcPr>
            <w:tcW w:w="641" w:type="pct"/>
            <w:vAlign w:val="center"/>
          </w:tcPr>
          <w:p w14:paraId="6F94C7B9">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2.38</w:t>
            </w:r>
            <w:r>
              <w:rPr>
                <w:rFonts w:ascii="Times New Roman" w:hAnsi="Times New Roman" w:cs="宋体"/>
                <w:kern w:val="0"/>
                <w:sz w:val="18"/>
                <w:szCs w:val="18"/>
              </w:rPr>
              <w:t>:1</w:t>
            </w:r>
          </w:p>
        </w:tc>
        <w:tc>
          <w:tcPr>
            <w:tcW w:w="431" w:type="pct"/>
            <w:vAlign w:val="center"/>
          </w:tcPr>
          <w:p w14:paraId="74B5D2ED">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2C2903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C427E4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24</w:t>
            </w:r>
          </w:p>
        </w:tc>
        <w:tc>
          <w:tcPr>
            <w:tcW w:w="481" w:type="pct"/>
            <w:vMerge w:val="continue"/>
            <w:vAlign w:val="center"/>
          </w:tcPr>
          <w:p w14:paraId="4B23796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AC9D06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高中阶段毛入学率（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79C42F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306CFE8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w:t>
            </w:r>
          </w:p>
        </w:tc>
        <w:tc>
          <w:tcPr>
            <w:tcW w:w="431" w:type="pct"/>
            <w:vAlign w:val="center"/>
          </w:tcPr>
          <w:p w14:paraId="012CB43A">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4D7FF2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F34A97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25</w:t>
            </w:r>
          </w:p>
        </w:tc>
        <w:tc>
          <w:tcPr>
            <w:tcW w:w="481" w:type="pct"/>
            <w:vMerge w:val="continue"/>
            <w:vAlign w:val="center"/>
          </w:tcPr>
          <w:p w14:paraId="6F082E1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2DA9B67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基本社会保险覆盖率（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CA6077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641" w:type="pct"/>
            <w:vAlign w:val="center"/>
          </w:tcPr>
          <w:p w14:paraId="09C6BD49">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100</w:t>
            </w:r>
          </w:p>
        </w:tc>
        <w:tc>
          <w:tcPr>
            <w:tcW w:w="431" w:type="pct"/>
            <w:vAlign w:val="center"/>
          </w:tcPr>
          <w:p w14:paraId="03F9A87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310DA5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4653A5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26</w:t>
            </w:r>
          </w:p>
        </w:tc>
        <w:tc>
          <w:tcPr>
            <w:tcW w:w="481" w:type="pct"/>
            <w:vMerge w:val="continue"/>
            <w:vAlign w:val="center"/>
          </w:tcPr>
          <w:p w14:paraId="48BDC0F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3EC52BA2">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社会安全公众满意率（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1BA0D2B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98</w:t>
            </w:r>
          </w:p>
        </w:tc>
        <w:tc>
          <w:tcPr>
            <w:tcW w:w="641" w:type="pct"/>
            <w:vAlign w:val="center"/>
          </w:tcPr>
          <w:p w14:paraId="1D3E301C">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99.36</w:t>
            </w:r>
          </w:p>
        </w:tc>
        <w:tc>
          <w:tcPr>
            <w:tcW w:w="431" w:type="pct"/>
            <w:vAlign w:val="center"/>
          </w:tcPr>
          <w:p w14:paraId="0A291EB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52FCD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FF2D6A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w:t>
            </w:r>
          </w:p>
        </w:tc>
        <w:tc>
          <w:tcPr>
            <w:tcW w:w="481" w:type="pct"/>
            <w:vMerge w:val="continue"/>
            <w:vAlign w:val="center"/>
          </w:tcPr>
          <w:p w14:paraId="479B9EA1">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738E8336">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恩格尔系数（</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4626A68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641" w:type="pct"/>
            <w:vAlign w:val="center"/>
          </w:tcPr>
          <w:p w14:paraId="36C3D06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w:t>
            </w:r>
            <w:r>
              <w:rPr>
                <w:rFonts w:ascii="Times New Roman" w:hAnsi="Times New Roman" w:cs="宋体"/>
                <w:kern w:val="0"/>
                <w:sz w:val="18"/>
                <w:szCs w:val="18"/>
              </w:rPr>
              <w:t>35%</w:t>
            </w:r>
          </w:p>
        </w:tc>
        <w:tc>
          <w:tcPr>
            <w:tcW w:w="431" w:type="pct"/>
            <w:vAlign w:val="center"/>
          </w:tcPr>
          <w:p w14:paraId="14FB2E4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085339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8E055C0">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28</w:t>
            </w:r>
          </w:p>
        </w:tc>
        <w:tc>
          <w:tcPr>
            <w:tcW w:w="481" w:type="pct"/>
            <w:vMerge w:val="restart"/>
            <w:vAlign w:val="center"/>
          </w:tcPr>
          <w:p w14:paraId="61A1978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生态文明</w:t>
            </w:r>
          </w:p>
        </w:tc>
        <w:tc>
          <w:tcPr>
            <w:tcW w:w="2245" w:type="pct"/>
            <w:gridSpan w:val="2"/>
            <w:vAlign w:val="center"/>
          </w:tcPr>
          <w:p w14:paraId="6126A540">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能耗降低（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54C227F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[5]</w:t>
            </w:r>
          </w:p>
        </w:tc>
        <w:tc>
          <w:tcPr>
            <w:tcW w:w="641" w:type="pct"/>
            <w:vAlign w:val="center"/>
          </w:tcPr>
          <w:p w14:paraId="3FB70E6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2.95</w:t>
            </w:r>
          </w:p>
        </w:tc>
        <w:tc>
          <w:tcPr>
            <w:tcW w:w="431" w:type="pct"/>
            <w:vAlign w:val="center"/>
          </w:tcPr>
          <w:p w14:paraId="075F1B77">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64A8A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223D40E">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29</w:t>
            </w:r>
          </w:p>
        </w:tc>
        <w:tc>
          <w:tcPr>
            <w:tcW w:w="481" w:type="pct"/>
            <w:vMerge w:val="continue"/>
            <w:vAlign w:val="center"/>
          </w:tcPr>
          <w:p w14:paraId="594E62BA">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17FB2655">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森林覆盖率（</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3D5BDB4D">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641" w:type="pct"/>
            <w:vAlign w:val="center"/>
          </w:tcPr>
          <w:p w14:paraId="66318DE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27.66</w:t>
            </w:r>
          </w:p>
        </w:tc>
        <w:tc>
          <w:tcPr>
            <w:tcW w:w="431" w:type="pct"/>
            <w:vAlign w:val="center"/>
          </w:tcPr>
          <w:p w14:paraId="0FEDA9DF">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31C53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5BB0B8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30</w:t>
            </w:r>
          </w:p>
        </w:tc>
        <w:tc>
          <w:tcPr>
            <w:tcW w:w="481" w:type="pct"/>
            <w:vMerge w:val="continue"/>
            <w:vAlign w:val="center"/>
          </w:tcPr>
          <w:p w14:paraId="2C433A52">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4C157EA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单位工业增加值用水量降低（</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62B17C0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[15]</w:t>
            </w:r>
          </w:p>
        </w:tc>
        <w:tc>
          <w:tcPr>
            <w:tcW w:w="641" w:type="pct"/>
            <w:vAlign w:val="center"/>
          </w:tcPr>
          <w:p w14:paraId="7B36673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10</w:t>
            </w:r>
          </w:p>
        </w:tc>
        <w:tc>
          <w:tcPr>
            <w:tcW w:w="431" w:type="pct"/>
            <w:vAlign w:val="center"/>
          </w:tcPr>
          <w:p w14:paraId="3B5F2A30">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3A0274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AD41518">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31</w:t>
            </w:r>
          </w:p>
        </w:tc>
        <w:tc>
          <w:tcPr>
            <w:tcW w:w="481" w:type="pct"/>
            <w:vMerge w:val="continue"/>
            <w:vAlign w:val="center"/>
          </w:tcPr>
          <w:p w14:paraId="6806F077">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71F9E11">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城市环境空气质量优良天数占全年天数比（</w:t>
            </w:r>
            <w:r>
              <w:rPr>
                <w:rFonts w:ascii="Times New Roman" w:hAnsi="Times New Roman" w:cs="宋体"/>
                <w:kern w:val="0"/>
                <w:sz w:val="18"/>
                <w:szCs w:val="18"/>
              </w:rPr>
              <w:t>%</w:t>
            </w:r>
            <w:r>
              <w:rPr>
                <w:rFonts w:hint="eastAsia" w:ascii="Times New Roman" w:hAnsi="Times New Roman" w:cs="宋体"/>
                <w:kern w:val="0"/>
                <w:sz w:val="18"/>
                <w:szCs w:val="18"/>
              </w:rPr>
              <w:t>）</w:t>
            </w:r>
          </w:p>
        </w:tc>
        <w:tc>
          <w:tcPr>
            <w:tcW w:w="802" w:type="pct"/>
            <w:vAlign w:val="center"/>
          </w:tcPr>
          <w:p w14:paraId="24710241">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80</w:t>
            </w:r>
          </w:p>
        </w:tc>
        <w:tc>
          <w:tcPr>
            <w:tcW w:w="641" w:type="pct"/>
            <w:vAlign w:val="center"/>
          </w:tcPr>
          <w:p w14:paraId="0CDA46EB">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76.16</w:t>
            </w:r>
          </w:p>
        </w:tc>
        <w:tc>
          <w:tcPr>
            <w:tcW w:w="431" w:type="pct"/>
            <w:vAlign w:val="center"/>
          </w:tcPr>
          <w:p w14:paraId="33A50431">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r w14:paraId="4D6FB4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040C2EC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32</w:t>
            </w:r>
          </w:p>
        </w:tc>
        <w:tc>
          <w:tcPr>
            <w:tcW w:w="481" w:type="pct"/>
            <w:vMerge w:val="continue"/>
            <w:vAlign w:val="center"/>
          </w:tcPr>
          <w:p w14:paraId="149A15FF">
            <w:pPr>
              <w:autoSpaceDE w:val="0"/>
              <w:autoSpaceDN w:val="0"/>
              <w:adjustRightInd w:val="0"/>
              <w:snapToGrid w:val="0"/>
              <w:jc w:val="center"/>
              <w:rPr>
                <w:rFonts w:ascii="Times New Roman" w:hAnsi="Times New Roman"/>
                <w:kern w:val="0"/>
                <w:sz w:val="18"/>
                <w:szCs w:val="18"/>
              </w:rPr>
            </w:pPr>
          </w:p>
        </w:tc>
        <w:tc>
          <w:tcPr>
            <w:tcW w:w="966" w:type="pct"/>
            <w:vMerge w:val="restart"/>
            <w:vAlign w:val="center"/>
          </w:tcPr>
          <w:p w14:paraId="1B838837">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单位</w:t>
            </w:r>
            <w:r>
              <w:rPr>
                <w:rFonts w:ascii="Times New Roman" w:hAnsi="Times New Roman" w:cs="宋体"/>
                <w:kern w:val="0"/>
                <w:sz w:val="18"/>
                <w:szCs w:val="18"/>
              </w:rPr>
              <w:t>GDP</w:t>
            </w:r>
            <w:r>
              <w:rPr>
                <w:rFonts w:hint="eastAsia" w:ascii="Times New Roman" w:hAnsi="Times New Roman" w:cs="宋体"/>
                <w:kern w:val="0"/>
                <w:sz w:val="18"/>
                <w:szCs w:val="18"/>
              </w:rPr>
              <w:t>主要污染物排放（千克</w:t>
            </w:r>
            <w:r>
              <w:rPr>
                <w:rFonts w:ascii="Times New Roman" w:hAnsi="Times New Roman" w:cs="宋体"/>
                <w:kern w:val="0"/>
                <w:sz w:val="18"/>
                <w:szCs w:val="18"/>
              </w:rPr>
              <w:t>/</w:t>
            </w:r>
            <w:r>
              <w:rPr>
                <w:rFonts w:hint="eastAsia" w:ascii="Times New Roman" w:hAnsi="Times New Roman" w:cs="宋体"/>
                <w:kern w:val="0"/>
                <w:sz w:val="18"/>
                <w:szCs w:val="18"/>
              </w:rPr>
              <w:t>万元）</w:t>
            </w:r>
          </w:p>
        </w:tc>
        <w:tc>
          <w:tcPr>
            <w:tcW w:w="1279" w:type="pct"/>
            <w:vAlign w:val="center"/>
          </w:tcPr>
          <w:p w14:paraId="4B1C94C3">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化学需氧量</w:t>
            </w:r>
          </w:p>
        </w:tc>
        <w:tc>
          <w:tcPr>
            <w:tcW w:w="802" w:type="pct"/>
            <w:vAlign w:val="center"/>
          </w:tcPr>
          <w:p w14:paraId="7ACA85FF">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1.2</w:t>
            </w:r>
          </w:p>
        </w:tc>
        <w:tc>
          <w:tcPr>
            <w:tcW w:w="641" w:type="pct"/>
            <w:vAlign w:val="center"/>
          </w:tcPr>
          <w:p w14:paraId="258AF15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0.95</w:t>
            </w:r>
          </w:p>
        </w:tc>
        <w:tc>
          <w:tcPr>
            <w:tcW w:w="431" w:type="pct"/>
            <w:vAlign w:val="center"/>
          </w:tcPr>
          <w:p w14:paraId="39755D3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3E0B3A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1844152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33</w:t>
            </w:r>
          </w:p>
        </w:tc>
        <w:tc>
          <w:tcPr>
            <w:tcW w:w="481" w:type="pct"/>
            <w:vMerge w:val="continue"/>
            <w:vAlign w:val="center"/>
          </w:tcPr>
          <w:p w14:paraId="2177DA51">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59E66FFF">
            <w:pPr>
              <w:autoSpaceDE w:val="0"/>
              <w:autoSpaceDN w:val="0"/>
              <w:adjustRightInd w:val="0"/>
              <w:snapToGrid w:val="0"/>
              <w:rPr>
                <w:rFonts w:ascii="Times New Roman" w:hAnsi="Times New Roman"/>
                <w:kern w:val="0"/>
                <w:sz w:val="18"/>
                <w:szCs w:val="18"/>
              </w:rPr>
            </w:pPr>
          </w:p>
        </w:tc>
        <w:tc>
          <w:tcPr>
            <w:tcW w:w="1279" w:type="pct"/>
            <w:vAlign w:val="center"/>
          </w:tcPr>
          <w:p w14:paraId="33EC245C">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氨氮</w:t>
            </w:r>
          </w:p>
        </w:tc>
        <w:tc>
          <w:tcPr>
            <w:tcW w:w="802" w:type="pct"/>
            <w:vAlign w:val="center"/>
          </w:tcPr>
          <w:p w14:paraId="74C6DD3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w:t>
            </w:r>
          </w:p>
        </w:tc>
        <w:tc>
          <w:tcPr>
            <w:tcW w:w="641" w:type="pct"/>
            <w:vAlign w:val="center"/>
          </w:tcPr>
          <w:p w14:paraId="20C63835">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0.162</w:t>
            </w:r>
          </w:p>
        </w:tc>
        <w:tc>
          <w:tcPr>
            <w:tcW w:w="431" w:type="pct"/>
            <w:vAlign w:val="center"/>
          </w:tcPr>
          <w:p w14:paraId="49E10FD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60041C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2A0E1EC4">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34</w:t>
            </w:r>
          </w:p>
        </w:tc>
        <w:tc>
          <w:tcPr>
            <w:tcW w:w="481" w:type="pct"/>
            <w:vMerge w:val="continue"/>
            <w:vAlign w:val="center"/>
          </w:tcPr>
          <w:p w14:paraId="56C98A04">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41E4E7C4">
            <w:pPr>
              <w:autoSpaceDE w:val="0"/>
              <w:autoSpaceDN w:val="0"/>
              <w:adjustRightInd w:val="0"/>
              <w:snapToGrid w:val="0"/>
              <w:rPr>
                <w:rFonts w:ascii="Times New Roman" w:hAnsi="Times New Roman"/>
                <w:kern w:val="0"/>
                <w:sz w:val="18"/>
                <w:szCs w:val="18"/>
              </w:rPr>
            </w:pPr>
          </w:p>
        </w:tc>
        <w:tc>
          <w:tcPr>
            <w:tcW w:w="1279" w:type="pct"/>
            <w:vAlign w:val="center"/>
          </w:tcPr>
          <w:p w14:paraId="092D6D70">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氮氧化物</w:t>
            </w:r>
          </w:p>
        </w:tc>
        <w:tc>
          <w:tcPr>
            <w:tcW w:w="802" w:type="pct"/>
            <w:vAlign w:val="center"/>
          </w:tcPr>
          <w:p w14:paraId="11D18A22">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0.6</w:t>
            </w:r>
          </w:p>
        </w:tc>
        <w:tc>
          <w:tcPr>
            <w:tcW w:w="641" w:type="pct"/>
            <w:vAlign w:val="center"/>
          </w:tcPr>
          <w:p w14:paraId="0DFFC396">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0.281</w:t>
            </w:r>
          </w:p>
        </w:tc>
        <w:tc>
          <w:tcPr>
            <w:tcW w:w="431" w:type="pct"/>
            <w:vAlign w:val="center"/>
          </w:tcPr>
          <w:p w14:paraId="47FB5CF6">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407BC8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508F691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35</w:t>
            </w:r>
          </w:p>
        </w:tc>
        <w:tc>
          <w:tcPr>
            <w:tcW w:w="481" w:type="pct"/>
            <w:vMerge w:val="continue"/>
            <w:vAlign w:val="center"/>
          </w:tcPr>
          <w:p w14:paraId="5A132040">
            <w:pPr>
              <w:autoSpaceDE w:val="0"/>
              <w:autoSpaceDN w:val="0"/>
              <w:adjustRightInd w:val="0"/>
              <w:snapToGrid w:val="0"/>
              <w:jc w:val="center"/>
              <w:rPr>
                <w:rFonts w:ascii="Times New Roman" w:hAnsi="Times New Roman"/>
                <w:kern w:val="0"/>
                <w:sz w:val="18"/>
                <w:szCs w:val="18"/>
              </w:rPr>
            </w:pPr>
          </w:p>
        </w:tc>
        <w:tc>
          <w:tcPr>
            <w:tcW w:w="966" w:type="pct"/>
            <w:vMerge w:val="continue"/>
            <w:vAlign w:val="center"/>
          </w:tcPr>
          <w:p w14:paraId="72910778">
            <w:pPr>
              <w:autoSpaceDE w:val="0"/>
              <w:autoSpaceDN w:val="0"/>
              <w:adjustRightInd w:val="0"/>
              <w:snapToGrid w:val="0"/>
              <w:rPr>
                <w:rFonts w:ascii="Times New Roman" w:hAnsi="Times New Roman"/>
                <w:kern w:val="0"/>
                <w:sz w:val="18"/>
                <w:szCs w:val="18"/>
              </w:rPr>
            </w:pPr>
          </w:p>
        </w:tc>
        <w:tc>
          <w:tcPr>
            <w:tcW w:w="1279" w:type="pct"/>
            <w:vAlign w:val="center"/>
          </w:tcPr>
          <w:p w14:paraId="1C55078D">
            <w:pPr>
              <w:autoSpaceDE w:val="0"/>
              <w:autoSpaceDN w:val="0"/>
              <w:adjustRightInd w:val="0"/>
              <w:snapToGrid w:val="0"/>
              <w:rPr>
                <w:rFonts w:ascii="Times New Roman" w:hAnsi="Times New Roman" w:cs="宋体"/>
                <w:kern w:val="0"/>
                <w:sz w:val="18"/>
                <w:szCs w:val="18"/>
              </w:rPr>
            </w:pPr>
            <w:r>
              <w:rPr>
                <w:rFonts w:hint="eastAsia" w:ascii="Times New Roman" w:hAnsi="Times New Roman" w:cs="宋体"/>
                <w:kern w:val="0"/>
                <w:sz w:val="18"/>
                <w:szCs w:val="18"/>
              </w:rPr>
              <w:t>二氧化硫</w:t>
            </w:r>
          </w:p>
        </w:tc>
        <w:tc>
          <w:tcPr>
            <w:tcW w:w="802" w:type="pct"/>
            <w:vAlign w:val="center"/>
          </w:tcPr>
          <w:p w14:paraId="40DCF823">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0.3</w:t>
            </w:r>
          </w:p>
        </w:tc>
        <w:tc>
          <w:tcPr>
            <w:tcW w:w="641" w:type="pct"/>
            <w:vAlign w:val="center"/>
          </w:tcPr>
          <w:p w14:paraId="31CC166A">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0.798</w:t>
            </w:r>
          </w:p>
        </w:tc>
        <w:tc>
          <w:tcPr>
            <w:tcW w:w="431" w:type="pct"/>
            <w:vAlign w:val="center"/>
          </w:tcPr>
          <w:p w14:paraId="40F1C6FE">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约束性</w:t>
            </w:r>
          </w:p>
        </w:tc>
      </w:tr>
      <w:tr w14:paraId="09F094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57" w:type="dxa"/>
            <w:bottom w:w="0" w:type="dxa"/>
            <w:right w:w="57" w:type="dxa"/>
          </w:tblCellMar>
        </w:tblPrEx>
        <w:trPr>
          <w:trHeight w:val="340" w:hRule="atLeast"/>
          <w:jc w:val="center"/>
        </w:trPr>
        <w:tc>
          <w:tcPr>
            <w:tcW w:w="399" w:type="pct"/>
            <w:vAlign w:val="center"/>
          </w:tcPr>
          <w:p w14:paraId="6B83F337">
            <w:pPr>
              <w:autoSpaceDE w:val="0"/>
              <w:autoSpaceDN w:val="0"/>
              <w:adjustRightInd w:val="0"/>
              <w:snapToGrid w:val="0"/>
              <w:jc w:val="center"/>
              <w:rPr>
                <w:rFonts w:ascii="Times New Roman" w:hAnsi="Times New Roman" w:cs="宋体"/>
                <w:kern w:val="0"/>
                <w:sz w:val="18"/>
                <w:szCs w:val="18"/>
              </w:rPr>
            </w:pPr>
            <w:r>
              <w:rPr>
                <w:rFonts w:ascii="Times New Roman" w:hAnsi="Times New Roman" w:cs="宋体"/>
                <w:kern w:val="0"/>
                <w:sz w:val="18"/>
                <w:szCs w:val="18"/>
              </w:rPr>
              <w:t>36</w:t>
            </w:r>
          </w:p>
        </w:tc>
        <w:tc>
          <w:tcPr>
            <w:tcW w:w="481" w:type="pct"/>
            <w:vMerge w:val="continue"/>
            <w:vAlign w:val="center"/>
          </w:tcPr>
          <w:p w14:paraId="11E8D9F9">
            <w:pPr>
              <w:autoSpaceDE w:val="0"/>
              <w:autoSpaceDN w:val="0"/>
              <w:adjustRightInd w:val="0"/>
              <w:snapToGrid w:val="0"/>
              <w:jc w:val="center"/>
              <w:rPr>
                <w:rFonts w:ascii="Times New Roman" w:hAnsi="Times New Roman"/>
                <w:kern w:val="0"/>
                <w:sz w:val="18"/>
                <w:szCs w:val="18"/>
              </w:rPr>
            </w:pPr>
          </w:p>
        </w:tc>
        <w:tc>
          <w:tcPr>
            <w:tcW w:w="2245" w:type="pct"/>
            <w:gridSpan w:val="2"/>
            <w:vAlign w:val="center"/>
          </w:tcPr>
          <w:p w14:paraId="5CC21F54">
            <w:pPr>
              <w:autoSpaceDE w:val="0"/>
              <w:autoSpaceDN w:val="0"/>
              <w:adjustRightInd w:val="0"/>
              <w:snapToGrid w:val="0"/>
              <w:rPr>
                <w:rFonts w:ascii="Times New Roman" w:hAnsi="Times New Roman"/>
                <w:kern w:val="0"/>
                <w:sz w:val="18"/>
                <w:szCs w:val="18"/>
              </w:rPr>
            </w:pPr>
            <w:r>
              <w:rPr>
                <w:rFonts w:hint="eastAsia" w:ascii="Times New Roman" w:hAnsi="Times New Roman" w:cs="宋体"/>
                <w:kern w:val="0"/>
                <w:sz w:val="18"/>
                <w:szCs w:val="18"/>
              </w:rPr>
              <w:t>主要河流出境水质</w:t>
            </w:r>
          </w:p>
        </w:tc>
        <w:tc>
          <w:tcPr>
            <w:tcW w:w="802" w:type="pct"/>
            <w:vAlign w:val="center"/>
          </w:tcPr>
          <w:p w14:paraId="4049891C">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641" w:type="pct"/>
            <w:vAlign w:val="center"/>
          </w:tcPr>
          <w:p w14:paraId="5C60613B">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Ⅲ</w:t>
            </w:r>
            <w:r>
              <w:rPr>
                <w:rFonts w:ascii="Times New Roman" w:hAnsi="Times New Roman" w:cs="宋体"/>
                <w:kern w:val="0"/>
                <w:sz w:val="18"/>
                <w:szCs w:val="18"/>
              </w:rPr>
              <w:t xml:space="preserve"> </w:t>
            </w:r>
            <w:r>
              <w:rPr>
                <w:rFonts w:hint="eastAsia" w:ascii="Times New Roman" w:hAnsi="Times New Roman" w:cs="宋体"/>
                <w:kern w:val="0"/>
                <w:sz w:val="18"/>
                <w:szCs w:val="18"/>
              </w:rPr>
              <w:t>类</w:t>
            </w:r>
          </w:p>
        </w:tc>
        <w:tc>
          <w:tcPr>
            <w:tcW w:w="431" w:type="pct"/>
            <w:vAlign w:val="center"/>
          </w:tcPr>
          <w:p w14:paraId="4F39C094">
            <w:pPr>
              <w:autoSpaceDE w:val="0"/>
              <w:autoSpaceDN w:val="0"/>
              <w:adjustRightInd w:val="0"/>
              <w:snapToGrid w:val="0"/>
              <w:jc w:val="center"/>
              <w:rPr>
                <w:rFonts w:ascii="Times New Roman" w:hAnsi="Times New Roman" w:cs="宋体"/>
                <w:kern w:val="0"/>
                <w:sz w:val="18"/>
                <w:szCs w:val="18"/>
              </w:rPr>
            </w:pPr>
            <w:r>
              <w:rPr>
                <w:rFonts w:hint="eastAsia" w:ascii="Times New Roman" w:hAnsi="Times New Roman" w:cs="宋体"/>
                <w:kern w:val="0"/>
                <w:sz w:val="18"/>
                <w:szCs w:val="18"/>
              </w:rPr>
              <w:t>预期性</w:t>
            </w:r>
          </w:p>
        </w:tc>
      </w:tr>
    </w:tbl>
    <w:p w14:paraId="16D9ED16">
      <w:pPr>
        <w:topLinePunct/>
        <w:autoSpaceDE w:val="0"/>
        <w:autoSpaceDN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经过“十三五”发展，全区综合实力持续提升，经济结构不</w:t>
      </w:r>
      <w:r>
        <w:rPr>
          <w:rFonts w:hint="eastAsia" w:ascii="Times New Roman" w:hAnsi="Times New Roman" w:eastAsia="仿宋_GB2312"/>
          <w:spacing w:val="-4"/>
          <w:sz w:val="32"/>
          <w:szCs w:val="32"/>
        </w:rPr>
        <w:t>断优化，发展活力竞相迸发，群众生活更加幸福，主城区地位更加凸显，辐射带动能力更强更优，为“十四五”发展奠定坚实基础</w:t>
      </w:r>
      <w:r>
        <w:rPr>
          <w:rFonts w:hint="eastAsia" w:ascii="Times New Roman" w:hAnsi="Times New Roman" w:eastAsia="仿宋_GB2312"/>
          <w:sz w:val="32"/>
          <w:szCs w:val="32"/>
        </w:rPr>
        <w:t>。</w:t>
      </w:r>
    </w:p>
    <w:p w14:paraId="272BD7B3">
      <w:pPr>
        <w:pStyle w:val="5"/>
        <w:widowControl w:val="0"/>
        <w:numPr>
          <w:ilvl w:val="0"/>
          <w:numId w:val="2"/>
        </w:numPr>
        <w:adjustRightInd w:val="0"/>
        <w:snapToGrid w:val="0"/>
        <w:spacing w:before="0" w:after="0" w:line="600" w:lineRule="exact"/>
        <w:ind w:firstLine="643" w:firstLineChars="200"/>
        <w:rPr>
          <w:rFonts w:eastAsia="楷体" w:cs="宋体"/>
        </w:rPr>
      </w:pPr>
      <w:r>
        <w:rPr>
          <w:rFonts w:hint="eastAsia" w:eastAsia="楷体" w:cs="宋体"/>
        </w:rPr>
        <w:t>存在问题</w:t>
      </w:r>
    </w:p>
    <w:p w14:paraId="206CFFE5">
      <w:pPr>
        <w:widowControl w:val="0"/>
        <w:topLinePunct/>
        <w:autoSpaceDE w:val="0"/>
        <w:autoSpaceDN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Times New Roman" w:hAnsi="Times New Roman" w:eastAsia="仿宋_GB2312"/>
          <w:sz w:val="32"/>
          <w:szCs w:val="32"/>
        </w:rPr>
        <w:t>在肯定成绩同时，必须清醒认识到，制约全区经济社会发展的问题和短板依然存在，需要在“十四五”期间着力加以解决。</w:t>
      </w:r>
      <w:r>
        <w:rPr>
          <w:rFonts w:hint="eastAsia" w:ascii="Times New Roman" w:hAnsi="Times New Roman" w:eastAsia="仿宋_GB2312"/>
          <w:b/>
          <w:sz w:val="32"/>
          <w:szCs w:val="32"/>
        </w:rPr>
        <w:t>一是经济发展新动能不足，</w:t>
      </w:r>
      <w:r>
        <w:rPr>
          <w:rFonts w:hint="eastAsia" w:ascii="Times New Roman" w:hAnsi="Times New Roman" w:eastAsia="仿宋_GB2312"/>
          <w:sz w:val="32"/>
          <w:szCs w:val="32"/>
        </w:rPr>
        <w:t>产业集中度不高、产业链不完整，特别是推动金台经济发展的骨干企业少。随着企业“退城入园”步伐加快，支撑区域经济发展的</w:t>
      </w:r>
      <w:r>
        <w:rPr>
          <w:rFonts w:hint="eastAsia" w:ascii="仿宋_GB2312" w:hAnsi="仿宋_GB2312" w:eastAsia="仿宋_GB2312" w:cs="仿宋_GB2312"/>
          <w:sz w:val="32"/>
          <w:szCs w:val="32"/>
        </w:rPr>
        <w:t>工业增长乏力；新的产业、新的支撑尚未全面形成集群。同时发展空间受到制约，重大产业化项目落地困难。</w:t>
      </w:r>
      <w:r>
        <w:rPr>
          <w:rFonts w:hint="eastAsia" w:ascii="仿宋_GB2312" w:hAnsi="仿宋_GB2312" w:eastAsia="仿宋_GB2312" w:cs="仿宋_GB2312"/>
          <w:b/>
          <w:sz w:val="32"/>
          <w:szCs w:val="32"/>
        </w:rPr>
        <w:t>二是产业结构不优，</w:t>
      </w:r>
      <w:r>
        <w:rPr>
          <w:rFonts w:hint="eastAsia" w:ascii="仿宋_GB2312" w:hAnsi="仿宋_GB2312" w:eastAsia="仿宋_GB2312" w:cs="仿宋_GB2312"/>
          <w:sz w:val="32"/>
          <w:szCs w:val="32"/>
        </w:rPr>
        <w:t>二产占经济总量比重较大，且依靠部分大型国企支撑，大而不强，规模以上企业中中小企业占比不足</w:t>
      </w:r>
      <w:r>
        <w:rPr>
          <w:rFonts w:hint="eastAsia" w:ascii="仿宋_GB2312" w:hAnsi="仿宋_GB2312" w:eastAsia="仿宋_GB2312" w:cs="仿宋_GB2312"/>
          <w:sz w:val="32"/>
          <w:szCs w:val="32"/>
          <w:lang w:eastAsia="zh-CN"/>
        </w:rPr>
        <w:t>二成</w:t>
      </w:r>
      <w:r>
        <w:rPr>
          <w:rFonts w:hint="eastAsia" w:ascii="仿宋_GB2312" w:hAnsi="仿宋_GB2312" w:eastAsia="仿宋_GB2312" w:cs="仿宋_GB2312"/>
          <w:sz w:val="32"/>
          <w:szCs w:val="32"/>
        </w:rPr>
        <w:t>；作为宝鸡市主城区，金台区第三产业占比过低，仅占40.4%，对经济贡献偏低，与省内其他</w:t>
      </w:r>
      <w:r>
        <w:rPr>
          <w:rFonts w:hint="eastAsia" w:ascii="仿宋_GB2312" w:hAnsi="仿宋_GB2312" w:eastAsia="仿宋_GB2312" w:cs="仿宋_GB2312"/>
          <w:sz w:val="32"/>
          <w:szCs w:val="32"/>
          <w:lang w:eastAsia="zh-CN"/>
        </w:rPr>
        <w:t>城市</w:t>
      </w:r>
      <w:r>
        <w:rPr>
          <w:rFonts w:hint="eastAsia" w:ascii="仿宋_GB2312" w:hAnsi="仿宋_GB2312" w:eastAsia="仿宋_GB2312" w:cs="仿宋_GB2312"/>
          <w:sz w:val="32"/>
          <w:szCs w:val="32"/>
        </w:rPr>
        <w:t>相比还有一定差距。</w:t>
      </w:r>
      <w:r>
        <w:rPr>
          <w:rFonts w:hint="eastAsia" w:ascii="仿宋_GB2312" w:hAnsi="仿宋_GB2312" w:eastAsia="仿宋_GB2312" w:cs="仿宋_GB2312"/>
          <w:b/>
          <w:sz w:val="32"/>
          <w:szCs w:val="32"/>
        </w:rPr>
        <w:t>三是</w:t>
      </w:r>
      <w:r>
        <w:rPr>
          <w:rFonts w:hint="eastAsia" w:ascii="仿宋_GB2312" w:hAnsi="仿宋_GB2312" w:eastAsia="仿宋_GB2312" w:cs="仿宋_GB2312"/>
          <w:b/>
          <w:bCs/>
          <w:sz w:val="32"/>
          <w:szCs w:val="32"/>
        </w:rPr>
        <w:t>综合承载力不高，</w:t>
      </w:r>
      <w:r>
        <w:rPr>
          <w:rFonts w:hint="eastAsia" w:ascii="仿宋_GB2312" w:hAnsi="仿宋_GB2312" w:eastAsia="仿宋_GB2312" w:cs="仿宋_GB2312"/>
          <w:sz w:val="32"/>
          <w:szCs w:val="32"/>
        </w:rPr>
        <w:t>城市基础设施和公共服务设施存在短板，建设标准、服务水平等滞后于现代化城市发展，择校热、停车难等问题突出，尤其老城区环境品质、基础设施等不能满足人民群众的需求和期盼。</w:t>
      </w:r>
      <w:r>
        <w:rPr>
          <w:rFonts w:hint="eastAsia" w:ascii="仿宋_GB2312" w:hAnsi="仿宋_GB2312" w:eastAsia="仿宋_GB2312" w:cs="仿宋_GB2312"/>
          <w:b/>
          <w:sz w:val="32"/>
          <w:szCs w:val="32"/>
        </w:rPr>
        <w:t>四是</w:t>
      </w:r>
      <w:r>
        <w:rPr>
          <w:rFonts w:hint="eastAsia" w:ascii="仿宋_GB2312" w:hAnsi="仿宋_GB2312" w:eastAsia="仿宋_GB2312" w:cs="仿宋_GB2312"/>
          <w:b/>
          <w:bCs/>
          <w:sz w:val="32"/>
          <w:szCs w:val="32"/>
        </w:rPr>
        <w:t>治理体系和治理能力现代化水平不高</w:t>
      </w:r>
      <w:r>
        <w:rPr>
          <w:rFonts w:hint="eastAsia" w:ascii="仿宋_GB2312" w:hAnsi="仿宋_GB2312" w:eastAsia="仿宋_GB2312" w:cs="仿宋_GB2312"/>
          <w:sz w:val="32"/>
          <w:szCs w:val="32"/>
        </w:rPr>
        <w:t>，信息化程度和手段有待加强，随着城市发展，在安全生产、城市建设、老旧小区物业管理等方面问题增多，社会矛盾日益显现，化解难度增大。</w:t>
      </w:r>
      <w:r>
        <w:rPr>
          <w:rFonts w:hint="eastAsia" w:ascii="仿宋_GB2312" w:hAnsi="仿宋_GB2312" w:eastAsia="仿宋_GB2312" w:cs="仿宋_GB2312"/>
          <w:b/>
          <w:sz w:val="32"/>
          <w:szCs w:val="32"/>
        </w:rPr>
        <w:t>五是创新发展水平不足，</w:t>
      </w:r>
      <w:r>
        <w:rPr>
          <w:rFonts w:hint="eastAsia" w:ascii="仿宋_GB2312" w:hAnsi="仿宋_GB2312" w:eastAsia="仿宋_GB2312" w:cs="仿宋_GB2312"/>
          <w:sz w:val="32"/>
          <w:szCs w:val="32"/>
        </w:rPr>
        <w:t>传统产业高端化发展滞后，新兴产业规模小，科技研发投入不足，研究与发展经费占GDP比重仅为2</w:t>
      </w:r>
      <w:r>
        <w:rPr>
          <w:rFonts w:ascii="仿宋_GB2312" w:hAnsi="仿宋_GB2312" w:eastAsia="仿宋_GB2312" w:cs="仿宋_GB2312"/>
          <w:sz w:val="32"/>
          <w:szCs w:val="32"/>
        </w:rPr>
        <w:t>.1</w:t>
      </w:r>
      <w:r>
        <w:rPr>
          <w:rFonts w:hint="eastAsia" w:ascii="仿宋_GB2312" w:hAnsi="仿宋_GB2312" w:eastAsia="仿宋_GB2312" w:cs="仿宋_GB2312"/>
          <w:sz w:val="32"/>
          <w:szCs w:val="32"/>
        </w:rPr>
        <w:t>%，低于陕西省（2.27%）平均水平，推动产业转型升级发展的动力、机制、人才、环境等创新发展要素仍处于较低水平。</w:t>
      </w:r>
    </w:p>
    <w:p w14:paraId="6CBEBE8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52" w:name="_Toc66442947"/>
      <w:bookmarkStart w:id="53" w:name="_Toc50710088"/>
      <w:bookmarkStart w:id="54" w:name="_Toc50988304"/>
      <w:bookmarkStart w:id="55" w:name="_Toc53863286"/>
      <w:bookmarkStart w:id="56" w:name="_Toc49276046"/>
      <w:bookmarkStart w:id="57" w:name="_Toc50988052"/>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发展环境</w:t>
      </w:r>
      <w:bookmarkEnd w:id="52"/>
      <w:bookmarkEnd w:id="53"/>
      <w:bookmarkEnd w:id="54"/>
      <w:bookmarkEnd w:id="55"/>
      <w:bookmarkEnd w:id="56"/>
      <w:bookmarkEnd w:id="57"/>
    </w:p>
    <w:p w14:paraId="05543354">
      <w:pPr>
        <w:topLinePunct/>
        <w:autoSpaceDE w:val="0"/>
        <w:autoSpaceDN w:val="0"/>
        <w:adjustRightInd w:val="0"/>
        <w:snapToGrid w:val="0"/>
        <w:spacing w:line="560" w:lineRule="exact"/>
        <w:ind w:firstLine="643" w:firstLineChars="200"/>
        <w:jc w:val="both"/>
        <w:rPr>
          <w:rFonts w:ascii="Times New Roman" w:hAnsi="Times New Roman" w:eastAsia="仿宋_GB2312"/>
          <w:b/>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从国际看。</w:t>
      </w:r>
      <w:r>
        <w:rPr>
          <w:rFonts w:hint="eastAsia" w:ascii="Times New Roman" w:hAnsi="Times New Roman" w:eastAsia="仿宋_GB2312"/>
          <w:sz w:val="32"/>
          <w:szCs w:val="32"/>
        </w:rPr>
        <w:t>当今世界呈现国际竞争优势重塑、经贸规则重建、力量格局重构的叠加态势。新冠肺炎疫情影响广泛深远，全球经济深度大调整，下行风险明显加剧，不稳定不确定因素显著增多，国际产业分工与竞争格局加速改变，全球产业链供应链加快调整。新一轮科技革命和产业变革深入发展，以数字化、智能化、网络化、绿色化为特征的新技术正加速向各个产业领域渗透。国际环境的变化，更要求金台扩大对外合作，突出关键技术、核心制造业等方面的自主创新，提升城市现代化功能和自身的综合实力。</w:t>
      </w:r>
    </w:p>
    <w:p w14:paraId="29B4BDF3">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从国内看。</w:t>
      </w:r>
      <w:r>
        <w:rPr>
          <w:rFonts w:hint="eastAsia" w:ascii="Times New Roman" w:hAnsi="Times New Roman" w:eastAsia="仿宋_GB2312"/>
          <w:sz w:val="32"/>
          <w:szCs w:val="32"/>
        </w:rPr>
        <w:t>“十四五”时期，我国开启全面建设社会主义现代化国家新征程，深入贯彻新发展理念，打造以国内大循环为主体、国内国际双循环相互促进的新发展格局，为金台建设“一带一路”上的国际化城市核心区，集聚创新要素创造了有利条件。国家实施更加积极的财政政策和稳健的货币政策，并加大新基建投资力度，为金台谋划项目、扩大投资提供良好政策环境。随着国家共建</w:t>
      </w:r>
      <w:r>
        <w:rPr>
          <w:rFonts w:ascii="Times New Roman" w:hAnsi="Times New Roman" w:eastAsia="仿宋_GB2312"/>
          <w:sz w:val="32"/>
          <w:szCs w:val="32"/>
        </w:rPr>
        <w:t>“</w:t>
      </w:r>
      <w:r>
        <w:rPr>
          <w:rFonts w:hint="eastAsia" w:ascii="Times New Roman" w:hAnsi="Times New Roman" w:eastAsia="仿宋_GB2312"/>
          <w:sz w:val="32"/>
          <w:szCs w:val="32"/>
        </w:rPr>
        <w:t>一带一路</w:t>
      </w:r>
      <w:r>
        <w:rPr>
          <w:rFonts w:ascii="Times New Roman" w:hAnsi="Times New Roman" w:eastAsia="仿宋_GB2312"/>
          <w:sz w:val="32"/>
          <w:szCs w:val="32"/>
        </w:rPr>
        <w:t>”</w:t>
      </w:r>
      <w:r>
        <w:rPr>
          <w:rFonts w:hint="eastAsia" w:ascii="Times New Roman" w:hAnsi="Times New Roman" w:eastAsia="仿宋_GB2312"/>
          <w:sz w:val="32"/>
          <w:szCs w:val="32"/>
        </w:rPr>
        <w:t>、新时代推进西部大开发形成新格局、关中平原城市群建设、黄河流域生态保护和高质量发展、西部陆海新通道建设等重大战略深入实施，为金台</w:t>
      </w:r>
      <w:r>
        <w:rPr>
          <w:rFonts w:ascii="Times New Roman" w:hAnsi="Times New Roman" w:eastAsia="仿宋_GB2312"/>
          <w:sz w:val="32"/>
          <w:szCs w:val="32"/>
        </w:rPr>
        <w:t>“</w:t>
      </w:r>
      <w:r>
        <w:rPr>
          <w:rFonts w:hint="eastAsia" w:ascii="Times New Roman" w:hAnsi="Times New Roman" w:eastAsia="仿宋_GB2312"/>
          <w:sz w:val="32"/>
          <w:szCs w:val="32"/>
        </w:rPr>
        <w:t>十四五</w:t>
      </w:r>
      <w:r>
        <w:rPr>
          <w:rFonts w:ascii="Times New Roman" w:hAnsi="Times New Roman" w:eastAsia="仿宋_GB2312"/>
          <w:sz w:val="32"/>
          <w:szCs w:val="32"/>
        </w:rPr>
        <w:t>”</w:t>
      </w:r>
      <w:r>
        <w:rPr>
          <w:rFonts w:hint="eastAsia" w:ascii="Times New Roman" w:hAnsi="Times New Roman" w:eastAsia="仿宋_GB2312"/>
          <w:sz w:val="32"/>
          <w:szCs w:val="32"/>
        </w:rPr>
        <w:t>追赶超越创造了更为有利的条件。</w:t>
      </w:r>
    </w:p>
    <w:p w14:paraId="2AE03127">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从全省看。</w:t>
      </w:r>
      <w:r>
        <w:rPr>
          <w:rFonts w:hint="eastAsia" w:ascii="Times New Roman" w:hAnsi="Times New Roman" w:eastAsia="仿宋_GB2312"/>
          <w:sz w:val="32"/>
          <w:szCs w:val="32"/>
        </w:rPr>
        <w:t>全省正处在创新驱动和投资拉动并重阶段。工业化由中期向后期跨越，城镇化加速向高水平阶段迈进，发展动力加快转换，发展空间不断拓展。习近平总书记对陕西提出了推动经济高质量发展迈出更大步伐、打造内陆改革开放高地、推动生态环境质量持续好转、加强民生保障和社会建设、推动全面从严治党向纵深发展等五项要求，这为“十四五”时期金台的工作指明了方向。省委、省政府明确提出关中协同创新发展战略，制定《关中平原城市群发展规划实施方案》，有利于金台融入关中平原城市群生产网络、创新网络，统筹优化发展要素配置。</w:t>
      </w:r>
    </w:p>
    <w:p w14:paraId="0ACD4461">
      <w:pPr>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从全市看。</w:t>
      </w:r>
      <w:r>
        <w:rPr>
          <w:rFonts w:hint="eastAsia" w:ascii="Times New Roman" w:hAnsi="Times New Roman" w:eastAsia="仿宋_GB2312"/>
          <w:sz w:val="32"/>
          <w:szCs w:val="32"/>
        </w:rPr>
        <w:t>宝鸡区位交通优势明显，被确定为全国性综合交通枢纽、老工业城市产业转型升级示范区、生产服务型国家物流枢纽承载城市、国家骨干冷链物流基地、国家绿色货运配送示范城市，为金台融入新发展格局，深化对内对外双向开放提供了重要契机。市委、市政府提出“一四五十”发展战略，“十四五”期间全力建设“先进制造业”“旅游休闲度假”等十个区域中心，并制定了《加快县域经济高质量发展争先进位十条措施》，提出了特色发展、规模化聚集、园区化布局等“十化”的具体要求。</w:t>
      </w:r>
    </w:p>
    <w:p w14:paraId="47154F33">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ascii="Times New Roman" w:hAnsi="Times New Roman" w:eastAsia="仿宋_GB2312"/>
          <w:b/>
          <w:sz w:val="32"/>
          <w:szCs w:val="32"/>
        </w:rPr>
        <w:t>——</w:t>
      </w:r>
      <w:r>
        <w:rPr>
          <w:rFonts w:hint="eastAsia" w:ascii="Times New Roman" w:hAnsi="Times New Roman" w:eastAsia="仿宋_GB2312"/>
          <w:b/>
          <w:sz w:val="32"/>
          <w:szCs w:val="32"/>
        </w:rPr>
        <w:t>从金台看。</w:t>
      </w:r>
      <w:r>
        <w:rPr>
          <w:rFonts w:hint="eastAsia" w:ascii="Times New Roman" w:hAnsi="Times New Roman" w:eastAsia="仿宋_GB2312"/>
          <w:sz w:val="32"/>
          <w:szCs w:val="32"/>
        </w:rPr>
        <w:t>经过多年发展，全区经济综合实力显著提升，以先进制造业为主导的现代工业、以文化旅游为主导的现代服务业已具有良好的基础和优势，</w:t>
      </w:r>
      <w:r>
        <w:rPr>
          <w:rFonts w:hint="eastAsia" w:ascii="Times New Roman" w:hAnsi="Times New Roman" w:eastAsia="仿宋_GB2312" w:cs="仿宋_GB2312"/>
          <w:sz w:val="32"/>
          <w:szCs w:val="32"/>
        </w:rPr>
        <w:t>园区带动能力不断增强，生态环境日益改善，民生保障持续提升，干事创业风正劲足。加之，</w:t>
      </w:r>
      <w:r>
        <w:rPr>
          <w:rFonts w:hint="eastAsia" w:ascii="Times New Roman" w:hAnsi="Times New Roman" w:eastAsia="仿宋_GB2312"/>
          <w:sz w:val="32"/>
          <w:szCs w:val="32"/>
        </w:rPr>
        <w:t>市委、市政府提出“东扩、北上”的空间发展策略，使蟠龙高新区成为宝鸡发展建设的重点区域和空间承载主体，金台区主城区核心区的区位优势将更加突出，营造了高质量发展、打造高端商贸服务功能、彰显文化魅力和高品质生活的有利条件和环境。但客观审视发展现状，金台与周边城市区的区域竞争和市域区县间存在的竞争态势更加激烈；同时也受到经济基础、承载空间、基础设施、体制机制、人才资源等关键要素制约</w:t>
      </w:r>
      <w:r>
        <w:rPr>
          <w:rFonts w:hint="eastAsia" w:ascii="Times New Roman" w:hAnsi="Times New Roman" w:eastAsia="仿宋_GB2312"/>
          <w:spacing w:val="-4"/>
          <w:sz w:val="32"/>
          <w:szCs w:val="32"/>
        </w:rPr>
        <w:t>。</w:t>
      </w:r>
    </w:p>
    <w:p w14:paraId="2FCDC2B5">
      <w:pPr>
        <w:widowControl w:val="0"/>
        <w:adjustRightInd w:val="0"/>
        <w:snapToGrid w:val="0"/>
        <w:spacing w:line="560" w:lineRule="exact"/>
        <w:ind w:firstLine="596" w:firstLineChars="200"/>
        <w:jc w:val="both"/>
        <w:rPr>
          <w:rFonts w:ascii="Times New Roman" w:hAnsi="Times New Roman" w:eastAsia="仿宋_GB2312"/>
          <w:sz w:val="32"/>
          <w:szCs w:val="32"/>
        </w:rPr>
        <w:sectPr>
          <w:footerReference r:id="rId6" w:type="default"/>
          <w:pgSz w:w="11907" w:h="16840"/>
          <w:pgMar w:top="1440" w:right="1474" w:bottom="1440" w:left="1588" w:header="851" w:footer="992" w:gutter="0"/>
          <w:pgNumType w:start="1"/>
          <w:cols w:space="425" w:num="1"/>
          <w:docGrid w:linePitch="312" w:charSpace="0"/>
        </w:sectPr>
      </w:pPr>
      <w:r>
        <w:rPr>
          <w:rFonts w:hint="eastAsia" w:ascii="Times New Roman" w:hAnsi="Times New Roman" w:eastAsia="仿宋_GB2312"/>
          <w:spacing w:val="-11"/>
          <w:sz w:val="32"/>
          <w:szCs w:val="32"/>
        </w:rPr>
        <w:t>综合分析，站在新起点，展望“十四五”，面对外部环境和区情实际的深刻变化，必须准确把握新时代高质量发展的深刻内涵，抢抓机遇，跳出金台看金台，准确识变、科学应变、主动求变，以开放促改革，以项目促发展，努力实现更高质量、更有效率、更加公平、更可持续、更为安全的发展，全面开创追赶超越和现代化建设新局面。</w:t>
      </w:r>
    </w:p>
    <w:bookmarkEnd w:id="46"/>
    <w:bookmarkEnd w:id="47"/>
    <w:bookmarkEnd w:id="48"/>
    <w:p w14:paraId="51E8B362">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58" w:name="_Toc50988305"/>
      <w:bookmarkStart w:id="59" w:name="_Toc50988053"/>
      <w:bookmarkStart w:id="60" w:name="_Toc53863287"/>
      <w:bookmarkStart w:id="61" w:name="_Toc50710089"/>
      <w:bookmarkStart w:id="62" w:name="_Toc66442948"/>
      <w:bookmarkStart w:id="63" w:name="_Toc49276047"/>
      <w:r>
        <w:rPr>
          <w:rFonts w:hint="eastAsia" w:eastAsia="方正小标宋简体"/>
          <w:b w:val="0"/>
          <w:iCs/>
          <w:kern w:val="2"/>
          <w:sz w:val="36"/>
          <w:szCs w:val="36"/>
        </w:rPr>
        <w:t>总体思路与目标</w:t>
      </w:r>
      <w:bookmarkEnd w:id="34"/>
      <w:bookmarkEnd w:id="35"/>
      <w:bookmarkEnd w:id="36"/>
      <w:bookmarkEnd w:id="58"/>
      <w:bookmarkEnd w:id="59"/>
      <w:bookmarkEnd w:id="60"/>
      <w:bookmarkEnd w:id="61"/>
      <w:bookmarkEnd w:id="62"/>
      <w:bookmarkEnd w:id="63"/>
    </w:p>
    <w:p w14:paraId="79830C8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64" w:name="_Toc50988306"/>
      <w:bookmarkStart w:id="65" w:name="_Toc66442949"/>
      <w:bookmarkStart w:id="66" w:name="_Toc50988054"/>
      <w:bookmarkStart w:id="67" w:name="_Toc42610324"/>
      <w:bookmarkStart w:id="68" w:name="_Toc50710090"/>
      <w:bookmarkStart w:id="69" w:name="_Toc42100035"/>
      <w:bookmarkStart w:id="70" w:name="_Toc49276048"/>
      <w:bookmarkStart w:id="71" w:name="_Toc53863288"/>
      <w:bookmarkStart w:id="72" w:name="_Toc41854889"/>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指导思想</w:t>
      </w:r>
      <w:bookmarkEnd w:id="64"/>
      <w:bookmarkEnd w:id="65"/>
      <w:bookmarkEnd w:id="66"/>
      <w:bookmarkEnd w:id="67"/>
      <w:bookmarkEnd w:id="68"/>
      <w:bookmarkEnd w:id="69"/>
      <w:bookmarkEnd w:id="70"/>
      <w:bookmarkEnd w:id="71"/>
      <w:bookmarkEnd w:id="72"/>
    </w:p>
    <w:p w14:paraId="3EEA79B8">
      <w:pPr>
        <w:widowControl w:val="0"/>
        <w:adjustRightInd w:val="0"/>
        <w:snapToGrid w:val="0"/>
        <w:spacing w:line="54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“十四五”时期全区经济社会发展，要高举中国特色社会主义伟大旗帜，深入贯彻党的十九大和</w:t>
      </w:r>
      <w:r>
        <w:rPr>
          <w:rFonts w:hint="eastAsia" w:ascii="Times New Roman" w:hAnsi="Times New Roman" w:eastAsia="仿宋_GB2312"/>
          <w:sz w:val="32"/>
          <w:szCs w:val="32"/>
          <w:lang w:eastAsia="zh-CN"/>
        </w:rPr>
        <w:t>党的十九届二中、三中、四中、五中全会精神</w:t>
      </w:r>
      <w:r>
        <w:rPr>
          <w:rFonts w:hint="eastAsia" w:ascii="Times New Roman" w:hAnsi="Times New Roman" w:eastAsia="仿宋_GB2312"/>
          <w:sz w:val="32"/>
          <w:szCs w:val="32"/>
        </w:rPr>
        <w:t>,坚持以马克思列宁主义、毛泽东思想、邓小平理论、“三个代表”重要思想、科学发展观、习近平新时代中国特色社会主义思想为指导，认真落实习近平总书记来陕考察重要讲话精神，贯通落实“五项要求”“五个扎实”，坚持新发展理念，坚持稳中求进工作总基调，统筹发展和安全，积极融入新发展格局，以高质量发展为主题，以深化供给侧结构性改革为主线，以改革创新为根本动力，以扩大开放为突破，以生态环境改善为前提，以满足人民日益增长的美好生活需要为根本目的，全面落实市委“一四五十”发展战略，深刻把握全区经济社会发展客观规律，建设“一个核心区”，打造“六个新高地”，提升区域综合竞争力，推进治理体系和治理能力现代化，奋力谱写金台新时代追赶超越新篇章。</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C631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1023B71">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 </w:t>
            </w:r>
            <w:r>
              <w:rPr>
                <w:rFonts w:hint="eastAsia" w:ascii="Times New Roman" w:hAnsi="Times New Roman" w:eastAsia="黑体"/>
                <w:sz w:val="28"/>
                <w:szCs w:val="28"/>
              </w:rPr>
              <w:t>金台区“十四五”战略思想</w:t>
            </w:r>
          </w:p>
        </w:tc>
      </w:tr>
      <w:tr w14:paraId="60BC6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DC634DB">
            <w:pPr>
              <w:adjustRightInd w:val="0"/>
              <w:snapToGrid w:val="0"/>
              <w:spacing w:line="40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1</w:t>
            </w:r>
            <w:r>
              <w:rPr>
                <w:rFonts w:hint="eastAsia" w:ascii="Times New Roman" w:hAnsi="Times New Roman" w:eastAsia="仿宋_GB2312"/>
                <w:b/>
                <w:sz w:val="28"/>
                <w:szCs w:val="28"/>
              </w:rPr>
              <w:t>个核心区：</w:t>
            </w:r>
            <w:r>
              <w:rPr>
                <w:rFonts w:hint="eastAsia" w:ascii="Times New Roman" w:hAnsi="Times New Roman" w:eastAsia="仿宋_GB2312"/>
                <w:sz w:val="28"/>
                <w:szCs w:val="28"/>
              </w:rPr>
              <w:t>“一带一路”上的国际化城市核心区。</w:t>
            </w:r>
          </w:p>
          <w:p w14:paraId="1C672002">
            <w:pPr>
              <w:adjustRightInd w:val="0"/>
              <w:snapToGrid w:val="0"/>
              <w:spacing w:line="40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6</w:t>
            </w:r>
            <w:r>
              <w:rPr>
                <w:rFonts w:hint="eastAsia" w:ascii="Times New Roman" w:hAnsi="Times New Roman" w:eastAsia="仿宋_GB2312"/>
                <w:b/>
                <w:sz w:val="28"/>
                <w:szCs w:val="28"/>
              </w:rPr>
              <w:t>个新高地：</w:t>
            </w:r>
            <w:bookmarkStart w:id="73" w:name="_Hlk59983119"/>
            <w:r>
              <w:rPr>
                <w:rFonts w:hint="eastAsia" w:ascii="Times New Roman" w:hAnsi="Times New Roman" w:eastAsia="仿宋_GB2312"/>
                <w:sz w:val="28"/>
                <w:szCs w:val="28"/>
              </w:rPr>
              <w:t>先进制造业高质量发展新高地，现代服务业聚集新高地，新时代文化建设新高地，对外开放新高地，生态文明建设新高地，高品质生活新高地。</w:t>
            </w:r>
            <w:bookmarkEnd w:id="73"/>
          </w:p>
          <w:p w14:paraId="1EE46333">
            <w:pPr>
              <w:adjustRightInd w:val="0"/>
              <w:snapToGrid w:val="0"/>
              <w:spacing w:line="400" w:lineRule="exact"/>
              <w:ind w:firstLine="562" w:firstLineChars="200"/>
              <w:jc w:val="both"/>
              <w:rPr>
                <w:rFonts w:ascii="Times New Roman" w:hAnsi="Times New Roman"/>
                <w:b/>
                <w:sz w:val="28"/>
                <w:szCs w:val="28"/>
              </w:rPr>
            </w:pPr>
            <w:r>
              <w:rPr>
                <w:rFonts w:ascii="Times New Roman" w:hAnsi="Times New Roman" w:eastAsia="仿宋_GB2312"/>
                <w:b/>
                <w:sz w:val="28"/>
                <w:szCs w:val="28"/>
              </w:rPr>
              <w:t>9</w:t>
            </w:r>
            <w:r>
              <w:rPr>
                <w:rFonts w:hint="eastAsia" w:ascii="Times New Roman" w:hAnsi="Times New Roman" w:eastAsia="仿宋_GB2312"/>
                <w:b/>
                <w:sz w:val="28"/>
                <w:szCs w:val="28"/>
              </w:rPr>
              <w:t>大任务：</w:t>
            </w:r>
            <w:r>
              <w:rPr>
                <w:rFonts w:hint="eastAsia" w:ascii="Times New Roman" w:hAnsi="Times New Roman" w:eastAsia="仿宋_GB2312"/>
                <w:sz w:val="28"/>
                <w:szCs w:val="28"/>
              </w:rPr>
              <w:t>构建现代产业体系，发展多元文化旅游，建设高品质主城区，打造创新型蟠龙高新区，全面实施乡村建设行动，持续改善生态环境质量，提高公共服务和民生保障水平，推进市域社会治理能力现代化，深化改革开放和创新驱动发展。</w:t>
            </w:r>
          </w:p>
        </w:tc>
      </w:tr>
    </w:tbl>
    <w:p w14:paraId="547B99B7">
      <w:pPr>
        <w:widowControl w:val="0"/>
        <w:adjustRightInd w:val="0"/>
        <w:snapToGrid w:val="0"/>
        <w:spacing w:line="540" w:lineRule="exact"/>
        <w:jc w:val="both"/>
        <w:rPr>
          <w:rFonts w:ascii="Times New Roman" w:hAnsi="Times New Roman" w:cs="宋体"/>
          <w:bCs/>
          <w:sz w:val="32"/>
          <w:szCs w:val="24"/>
        </w:rPr>
      </w:pPr>
      <w:bookmarkStart w:id="74" w:name="_Toc53863289"/>
      <w:bookmarkStart w:id="75" w:name="_Toc49276049"/>
      <w:bookmarkStart w:id="76" w:name="_Toc42610325"/>
      <w:bookmarkStart w:id="77" w:name="_Toc50710091"/>
      <w:bookmarkStart w:id="78" w:name="_Toc66442950"/>
      <w:bookmarkStart w:id="79" w:name="_Toc50988307"/>
      <w:bookmarkStart w:id="80" w:name="_Toc42100036"/>
      <w:bookmarkStart w:id="81" w:name="_Toc41854890"/>
      <w:bookmarkStart w:id="82" w:name="_Toc50988055"/>
    </w:p>
    <w:p w14:paraId="33519C8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基本原则</w:t>
      </w:r>
      <w:bookmarkEnd w:id="74"/>
      <w:bookmarkEnd w:id="75"/>
      <w:bookmarkEnd w:id="76"/>
      <w:bookmarkEnd w:id="77"/>
      <w:bookmarkEnd w:id="78"/>
      <w:bookmarkEnd w:id="79"/>
      <w:bookmarkEnd w:id="80"/>
      <w:bookmarkEnd w:id="81"/>
      <w:bookmarkEnd w:id="82"/>
    </w:p>
    <w:p w14:paraId="1C17CE0F">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坚持党的全面领导。</w:t>
      </w:r>
      <w:r>
        <w:rPr>
          <w:rFonts w:hint="eastAsia" w:ascii="Times New Roman" w:hAnsi="Times New Roman" w:eastAsia="仿宋_GB2312"/>
          <w:sz w:val="32"/>
          <w:szCs w:val="32"/>
        </w:rPr>
        <w:t>深入贯彻习近平总书记来陕考察重要讲话和</w:t>
      </w:r>
      <w:r>
        <w:rPr>
          <w:rFonts w:hint="eastAsia" w:ascii="Times New Roman" w:hAnsi="Times New Roman" w:eastAsia="仿宋_GB2312"/>
          <w:sz w:val="32"/>
          <w:szCs w:val="32"/>
          <w:lang w:eastAsia="zh-CN"/>
        </w:rPr>
        <w:t>重要指示批示</w:t>
      </w:r>
      <w:r>
        <w:rPr>
          <w:rFonts w:hint="eastAsia" w:ascii="Times New Roman" w:hAnsi="Times New Roman" w:eastAsia="仿宋_GB2312"/>
          <w:sz w:val="32"/>
          <w:szCs w:val="32"/>
        </w:rPr>
        <w:t>，全面贯彻党的基本理论、基本路线、基本方略，坚持和完善党领导经济社会发展的体制机制，不断增强推动高质量发展的能力和水平。</w:t>
      </w:r>
    </w:p>
    <w:p w14:paraId="0AC21948">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坚持以人民为中心。</w:t>
      </w:r>
      <w:r>
        <w:rPr>
          <w:rFonts w:hint="eastAsia" w:ascii="Times New Roman" w:hAnsi="Times New Roman" w:eastAsia="仿宋_GB2312"/>
          <w:sz w:val="32"/>
          <w:szCs w:val="32"/>
        </w:rPr>
        <w:t>坚持人民主体地位，稳步提升公共服务水平</w:t>
      </w:r>
      <w:r>
        <w:rPr>
          <w:rFonts w:ascii="Times New Roman" w:hAnsi="Times New Roman" w:eastAsia="仿宋_GB2312"/>
          <w:sz w:val="32"/>
          <w:szCs w:val="32"/>
        </w:rPr>
        <w:t>,</w:t>
      </w:r>
      <w:r>
        <w:rPr>
          <w:rFonts w:hint="eastAsia" w:ascii="Times New Roman" w:hAnsi="Times New Roman" w:eastAsia="仿宋_GB2312"/>
          <w:sz w:val="32"/>
          <w:szCs w:val="32"/>
        </w:rPr>
        <w:t>始终做到发展为了人民、发展依靠人民、发展成果由人民共享</w:t>
      </w:r>
      <w:r>
        <w:rPr>
          <w:rFonts w:ascii="Times New Roman" w:hAnsi="Times New Roman" w:eastAsia="仿宋_GB2312"/>
          <w:sz w:val="32"/>
          <w:szCs w:val="32"/>
        </w:rPr>
        <w:t>,</w:t>
      </w:r>
      <w:r>
        <w:rPr>
          <w:rFonts w:hint="eastAsia" w:ascii="Times New Roman" w:hAnsi="Times New Roman" w:eastAsia="仿宋_GB2312"/>
          <w:sz w:val="32"/>
          <w:szCs w:val="32"/>
        </w:rPr>
        <w:t>不断激发全区人民积极性、主动性、创造性，促进社会公平正义。</w:t>
      </w:r>
    </w:p>
    <w:p w14:paraId="5537E0CC">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坚持新发展理念。</w:t>
      </w:r>
      <w:r>
        <w:rPr>
          <w:rFonts w:hint="eastAsia" w:ascii="Times New Roman" w:hAnsi="Times New Roman" w:eastAsia="仿宋_GB2312"/>
          <w:sz w:val="32"/>
          <w:szCs w:val="32"/>
        </w:rPr>
        <w:t>坚持把创新摆在现代化建设全局中的核心地位，积极融入以国内大循环为主体、国内国际双循环相互促进的新发展格局，努力实现更高质量、更有效率、更加公平、更可持续、更为安全</w:t>
      </w:r>
      <w:r>
        <w:rPr>
          <w:rFonts w:hint="eastAsia" w:ascii="Times New Roman" w:hAnsi="Times New Roman" w:eastAsia="仿宋_GB2312"/>
          <w:sz w:val="32"/>
          <w:szCs w:val="32"/>
          <w:lang w:eastAsia="zh-CN"/>
        </w:rPr>
        <w:t>地</w:t>
      </w:r>
      <w:r>
        <w:rPr>
          <w:rFonts w:hint="eastAsia" w:ascii="Times New Roman" w:hAnsi="Times New Roman" w:eastAsia="仿宋_GB2312"/>
          <w:sz w:val="32"/>
          <w:szCs w:val="32"/>
        </w:rPr>
        <w:t>发展。</w:t>
      </w:r>
    </w:p>
    <w:p w14:paraId="2167A1BD">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坚持深化改革开放。</w:t>
      </w:r>
      <w:r>
        <w:rPr>
          <w:rFonts w:hint="eastAsia" w:ascii="Times New Roman" w:hAnsi="Times New Roman" w:eastAsia="仿宋_GB2312"/>
          <w:sz w:val="32"/>
          <w:szCs w:val="32"/>
        </w:rPr>
        <w:t>坚持以改革促开放促发展，强化改革系统集成和协同高效，充分发挥市场在资源配置中的决定性作用，深度融入共建“一带一路”大格局，建设“一带一路”上的国际化城市核心区。</w:t>
      </w:r>
    </w:p>
    <w:p w14:paraId="64560F85">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坚持生态优先。</w:t>
      </w:r>
      <w:r>
        <w:rPr>
          <w:rFonts w:hint="eastAsia" w:ascii="Times New Roman" w:hAnsi="Times New Roman" w:eastAsia="仿宋_GB2312"/>
          <w:sz w:val="32"/>
          <w:szCs w:val="32"/>
        </w:rPr>
        <w:t>树牢“绿水青山就是金山银山理念”，把生态文明理念贯穿于经济社会发展全过程、各领域，坚持尊重自然、顺应自然、保护自然，完善生态文明制度，强化激励约束机制，推动生态环境保护系统化、环境治理精细化、生产方式绿色化。</w:t>
      </w:r>
    </w:p>
    <w:p w14:paraId="663EE5A8">
      <w:pPr>
        <w:pStyle w:val="2"/>
      </w:pPr>
    </w:p>
    <w:p w14:paraId="5E9649A1">
      <w:pPr>
        <w:pStyle w:val="2"/>
      </w:pPr>
    </w:p>
    <w:p w14:paraId="63121DC9">
      <w:pPr>
        <w:pStyle w:val="2"/>
      </w:pPr>
    </w:p>
    <w:p w14:paraId="53C332B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83" w:name="_Toc43882041"/>
      <w:bookmarkStart w:id="84" w:name="_Toc50988308"/>
      <w:bookmarkStart w:id="85" w:name="_Toc53863290"/>
      <w:bookmarkStart w:id="86" w:name="_Toc50988056"/>
      <w:bookmarkStart w:id="87" w:name="_Toc49276050"/>
      <w:bookmarkStart w:id="88" w:name="_Toc50710092"/>
      <w:bookmarkStart w:id="89" w:name="_Toc66442951"/>
      <w:r>
        <w:rPr>
          <w:rFonts w:hint="eastAsia" w:ascii="Times New Roman" w:hAnsi="Times New Roman" w:cs="宋体"/>
          <w:bCs w:val="0"/>
          <w:sz w:val="32"/>
          <w:szCs w:val="24"/>
        </w:rPr>
        <w:t>第三节</w:t>
      </w:r>
      <w:bookmarkEnd w:id="83"/>
      <w:r>
        <w:rPr>
          <w:rFonts w:hint="eastAsia" w:ascii="Times New Roman" w:hAnsi="Times New Roman" w:cs="宋体"/>
          <w:bCs w:val="0"/>
          <w:sz w:val="32"/>
          <w:szCs w:val="24"/>
        </w:rPr>
        <w:t xml:space="preserve"> 目标</w:t>
      </w:r>
      <w:bookmarkEnd w:id="84"/>
      <w:bookmarkEnd w:id="85"/>
      <w:bookmarkEnd w:id="86"/>
      <w:bookmarkEnd w:id="87"/>
      <w:bookmarkEnd w:id="88"/>
      <w:r>
        <w:rPr>
          <w:rFonts w:hint="eastAsia" w:ascii="Times New Roman" w:hAnsi="Times New Roman" w:cs="宋体"/>
          <w:bCs w:val="0"/>
          <w:sz w:val="32"/>
          <w:szCs w:val="24"/>
        </w:rPr>
        <w:t>定位</w:t>
      </w:r>
      <w:bookmarkEnd w:id="89"/>
    </w:p>
    <w:p w14:paraId="7C6B0622">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w:t>
      </w:r>
      <w:r>
        <w:rPr>
          <w:rFonts w:hint="eastAsia" w:ascii="Times New Roman" w:hAnsi="Times New Roman" w:eastAsia="仿宋_GB2312"/>
          <w:b/>
          <w:bCs/>
          <w:sz w:val="32"/>
          <w:szCs w:val="32"/>
        </w:rPr>
        <w:t>建设“一个核心区”、打造“六个新高地”</w:t>
      </w:r>
      <w:r>
        <w:rPr>
          <w:rFonts w:hint="eastAsia" w:ascii="Times New Roman" w:hAnsi="Times New Roman" w:eastAsia="仿宋_GB2312"/>
          <w:sz w:val="32"/>
          <w:szCs w:val="32"/>
        </w:rPr>
        <w:t>的总体思路，科学确定发展定位和发展目标。</w:t>
      </w:r>
    </w:p>
    <w:p w14:paraId="7D18A124">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发展定位</w:t>
      </w:r>
    </w:p>
    <w:p w14:paraId="486D09FD">
      <w:pPr>
        <w:adjustRightInd w:val="0"/>
        <w:spacing w:line="560" w:lineRule="exact"/>
        <w:ind w:firstLine="643" w:firstLineChars="200"/>
        <w:jc w:val="both"/>
        <w:rPr>
          <w:rFonts w:ascii="仿宋_GB2312" w:hAnsi="仿宋_GB2312" w:eastAsia="仿宋_GB2312" w:cs="仿宋_GB2312"/>
          <w:spacing w:val="-4"/>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pacing w:val="-4"/>
          <w:sz w:val="32"/>
          <w:szCs w:val="32"/>
        </w:rPr>
        <w:t>建设“一带一路”上的国际化城市核心区。</w:t>
      </w:r>
      <w:r>
        <w:rPr>
          <w:rFonts w:hint="eastAsia" w:ascii="仿宋_GB2312" w:hAnsi="仿宋_GB2312" w:eastAsia="仿宋_GB2312" w:cs="仿宋_GB2312"/>
          <w:spacing w:val="-4"/>
          <w:sz w:val="32"/>
          <w:szCs w:val="32"/>
        </w:rPr>
        <w:t>按照“一廊两带四区六心”总体布局，高起点建设渭河生态景观长廊和文化发展带、城市发展带，高标准打造城市核心引领、城市新区拓展、城乡融合发展、生态经济发展“四个功能区”和政务、金融、文化艺术、商贸服务、科教、医疗康养“六个中心”，构建新区引领、主城提升、金硖转型、</w:t>
      </w:r>
      <w:r>
        <w:rPr>
          <w:rFonts w:hint="eastAsia" w:ascii="仿宋_GB2312" w:hAnsi="仿宋_GB2312" w:eastAsia="仿宋_GB2312" w:cs="仿宋_GB2312"/>
          <w:spacing w:val="-4"/>
          <w:sz w:val="32"/>
          <w:szCs w:val="32"/>
          <w:lang w:eastAsia="zh-CN"/>
        </w:rPr>
        <w:t>城乡融合和区域协调发展</w:t>
      </w:r>
      <w:r>
        <w:rPr>
          <w:rFonts w:hint="eastAsia" w:ascii="仿宋_GB2312" w:hAnsi="仿宋_GB2312" w:eastAsia="仿宋_GB2312" w:cs="仿宋_GB2312"/>
          <w:spacing w:val="-4"/>
          <w:sz w:val="32"/>
          <w:szCs w:val="32"/>
        </w:rPr>
        <w:t>格局。</w:t>
      </w:r>
    </w:p>
    <w:p w14:paraId="5AE6714C">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打造先进制造业高质量发展新高地。</w:t>
      </w:r>
      <w:r>
        <w:rPr>
          <w:rFonts w:hint="eastAsia" w:ascii="仿宋_GB2312" w:hAnsi="仿宋_GB2312" w:eastAsia="仿宋_GB2312" w:cs="仿宋_GB2312"/>
          <w:sz w:val="32"/>
          <w:szCs w:val="32"/>
        </w:rPr>
        <w:t>抢抓关中先进制造业大走廊和宝鸡建设全国先进制造业中心机遇，以“园中园”行动为抓手，以产业基础高级化、产业承载园区化、产业链现代化为目标，坚持龙头带动、园区承载、创新驱动、产业融合、集群发展，大力实施“15435”计划和“工业项目突破年”活动，发展壮大五个百亿优势产业集群，培育提升四大新兴产业，建成三个省级示范县域工业集中区，深入开展五大攻坚行动，奋力推动全区制造业追赶超越和高质量发展，聚力建设全省极具影响力的先进制造业新高地。</w:t>
      </w:r>
    </w:p>
    <w:p w14:paraId="18A2B0B2">
      <w:pPr>
        <w:tabs>
          <w:tab w:val="left" w:pos="8394"/>
        </w:tabs>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打造现代服务业聚集新高地。</w:t>
      </w:r>
      <w:r>
        <w:rPr>
          <w:rFonts w:hint="eastAsia" w:ascii="仿宋_GB2312" w:hAnsi="仿宋_GB2312" w:eastAsia="仿宋_GB2312" w:cs="仿宋_GB2312"/>
          <w:sz w:val="32"/>
          <w:szCs w:val="32"/>
        </w:rPr>
        <w:t>以老工业城市产业转型升级示范区建设为契机，加快传统商贸转型升级，建设楼宇经济、总部经济、货物集散、旅游休闲、文化创意、医疗康养、教育培训等现代服务业聚集区，推动生活性服务业多样化、品牌化发展，促进生产性服务业向专业化和价值链高端延伸，努力构建既能“嗨购全球”、又能“喧闹市井”、更能“领航未来”的现代服务业体系。</w:t>
      </w:r>
    </w:p>
    <w:p w14:paraId="3B966B7A">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打造新时代文化建设新高地。</w:t>
      </w:r>
      <w:r>
        <w:rPr>
          <w:rFonts w:hint="eastAsia" w:ascii="仿宋_GB2312" w:hAnsi="仿宋_GB2312" w:eastAsia="仿宋_GB2312" w:cs="仿宋_GB2312"/>
          <w:sz w:val="32"/>
          <w:szCs w:val="32"/>
        </w:rPr>
        <w:t>以创建国家全域旅游示范区为统领，充分挖掘仰韶文化、姜炎文化、周秦文化、红色文化、山水文化和民俗文化底蕴，扎实推进大北坡中华文化长廊、西府天地民俗文化旅游区、长乐塬抗战工业遗址研学教育基地等重点文旅项目建设，大力实施“旅游+”工程，推动文化旅游深度融合和高质量发展。</w:t>
      </w:r>
    </w:p>
    <w:p w14:paraId="7176637E">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打造对外开放新高地。</w:t>
      </w:r>
      <w:r>
        <w:rPr>
          <w:rFonts w:hint="eastAsia" w:ascii="仿宋_GB2312" w:hAnsi="仿宋_GB2312" w:eastAsia="仿宋_GB2312" w:cs="仿宋_GB2312"/>
          <w:sz w:val="32"/>
          <w:szCs w:val="32"/>
        </w:rPr>
        <w:t>聚焦开放不足突出短板，主动融入“双循环”，积极参与区域协同发展，“走出去”和“引进来”相结合，系统搭建“走出去”平台，支持驻区企业拓展海外市场；持续加强招商引资，积极承接东部产业转移，全面提升“引进来”水平，打造宝鸡对外开放合作新平台。</w:t>
      </w:r>
    </w:p>
    <w:p w14:paraId="7363D9D1">
      <w:pPr>
        <w:adjustRightIn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打造生态文明建设新高地。</w:t>
      </w:r>
      <w:r>
        <w:rPr>
          <w:rFonts w:hint="eastAsia" w:ascii="仿宋_GB2312" w:hAnsi="仿宋_GB2312" w:eastAsia="仿宋_GB2312" w:cs="仿宋_GB2312"/>
          <w:sz w:val="32"/>
          <w:szCs w:val="32"/>
        </w:rPr>
        <w:t>以省级生态文明建设示范区创建为抓手，统筹实施生态系统治理，强力推进大气污染防治攻坚，扎实做好“六水共治”、</w:t>
      </w:r>
      <w:r>
        <w:rPr>
          <w:rFonts w:hint="eastAsia" w:ascii="仿宋_GB2312" w:hAnsi="仿宋_GB2312" w:eastAsia="仿宋_GB2312" w:cs="仿宋_GB2312"/>
          <w:sz w:val="32"/>
          <w:szCs w:val="32"/>
          <w:lang w:eastAsia="zh-CN"/>
        </w:rPr>
        <w:t>土壤污染防治</w:t>
      </w:r>
      <w:r>
        <w:rPr>
          <w:rFonts w:hint="eastAsia" w:ascii="仿宋_GB2312" w:hAnsi="仿宋_GB2312" w:eastAsia="仿宋_GB2312" w:cs="仿宋_GB2312"/>
          <w:sz w:val="32"/>
          <w:szCs w:val="32"/>
        </w:rPr>
        <w:t>、节能减排和碳达峰、碳中和工作，全面提升造林绿化水平，争创国家生态文明建设示范区。</w:t>
      </w:r>
    </w:p>
    <w:p w14:paraId="10B5CDA6">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w:t>
      </w:r>
      <w:r>
        <w:rPr>
          <w:rFonts w:hint="eastAsia" w:ascii="楷体_GB2312" w:hAnsi="楷体_GB2312" w:eastAsia="楷体_GB2312" w:cs="楷体_GB2312"/>
          <w:b/>
          <w:bCs/>
          <w:sz w:val="32"/>
          <w:szCs w:val="32"/>
        </w:rPr>
        <w:t>打造高品质生活新高地。</w:t>
      </w:r>
      <w:r>
        <w:rPr>
          <w:rFonts w:hint="eastAsia" w:ascii="仿宋_GB2312" w:hAnsi="仿宋_GB2312" w:eastAsia="仿宋_GB2312" w:cs="仿宋_GB2312"/>
          <w:kern w:val="0"/>
          <w:sz w:val="32"/>
          <w:szCs w:val="32"/>
        </w:rPr>
        <w:t>顺应人民群众对美好生活的新期待，用心办好民生实事，加强基本公共服务供给，优先推动教育高质量发展，多渠道促进就业创业，完善多层次社会保障体系，加强和创新社会治理，扎实推进更高水平平安金台、健康金台建设，努力让人民群众获得感、幸福感、安全感更加充实、更有保障、更可持续。</w:t>
      </w:r>
    </w:p>
    <w:p w14:paraId="3AE207E6">
      <w:pPr>
        <w:numPr>
          <w:ilvl w:val="0"/>
          <w:numId w:val="3"/>
        </w:numPr>
        <w:adjustRightInd w:val="0"/>
        <w:snapToGrid w:val="0"/>
        <w:spacing w:line="600" w:lineRule="exact"/>
        <w:ind w:firstLine="643" w:firstLineChars="200"/>
        <w:outlineLvl w:val="2"/>
        <w:rPr>
          <w:rFonts w:ascii="Times New Roman" w:hAnsi="Times New Roman" w:eastAsia="楷体"/>
          <w:b/>
          <w:bCs/>
          <w:sz w:val="32"/>
          <w:szCs w:val="32"/>
        </w:rPr>
      </w:pPr>
      <w:bookmarkStart w:id="90" w:name="_Toc42610327"/>
      <w:bookmarkStart w:id="91" w:name="_Toc42100038"/>
      <w:bookmarkStart w:id="92" w:name="_Toc41854894"/>
      <w:r>
        <w:rPr>
          <w:rFonts w:hint="eastAsia" w:ascii="Times New Roman" w:hAnsi="Times New Roman" w:eastAsia="楷体"/>
          <w:b/>
          <w:bCs/>
          <w:sz w:val="32"/>
          <w:szCs w:val="32"/>
        </w:rPr>
        <w:t>发展目标</w:t>
      </w:r>
      <w:bookmarkEnd w:id="90"/>
      <w:bookmarkEnd w:id="91"/>
      <w:bookmarkEnd w:id="92"/>
    </w:p>
    <w:p w14:paraId="200005D7">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2025年，基本建成“一带一路”上的国际化城市核心区，创新能力显著提升，现代产业体系健全，基础设施承载能力增强，公共服务水平持续提升，生态环境、营商环境、开放环境、创新环境明显改善，社会治理体系和治理能力现代化水平显著提升，人民群众幸福感满意度大幅增强，凸显现代都市、国际化发展城市环境风貌。</w:t>
      </w:r>
    </w:p>
    <w:p w14:paraId="30308F80">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经济发展取得新成效。</w:t>
      </w:r>
      <w:r>
        <w:rPr>
          <w:rFonts w:hint="eastAsia" w:ascii="仿宋_GB2312" w:hAnsi="仿宋_GB2312" w:eastAsia="仿宋_GB2312" w:cs="仿宋_GB2312"/>
          <w:sz w:val="32"/>
          <w:szCs w:val="32"/>
        </w:rPr>
        <w:t>追赶超越取得明显进展，现代化经济体系建设取得重大进展，经济结构更加优化，创新能力显著提升，产业基础高级化、产业链现代化水平明显提高，先进制造业和现代服务业双轮驱动，以先进制造业为引领、以现代服务业为支撑的现代产业体系基本形成。“十四五”期间，GDP年均增长6%左右，到2025年，三次产业比例优化为0.</w:t>
      </w:r>
      <w:r>
        <w:rPr>
          <w:rFonts w:ascii="仿宋_GB2312" w:hAnsi="仿宋_GB2312" w:eastAsia="仿宋_GB2312" w:cs="仿宋_GB2312"/>
          <w:sz w:val="32"/>
          <w:szCs w:val="32"/>
        </w:rPr>
        <w:t>7</w:t>
      </w:r>
      <w:r>
        <w:rPr>
          <w:rFonts w:hint="eastAsia" w:ascii="仿宋_GB2312" w:hAnsi="仿宋_GB2312" w:eastAsia="仿宋_GB2312" w:cs="仿宋_GB2312"/>
          <w:sz w:val="32"/>
          <w:szCs w:val="32"/>
        </w:rPr>
        <w:t>：5</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：4</w:t>
      </w:r>
      <w:r>
        <w:rPr>
          <w:rFonts w:ascii="仿宋_GB2312" w:hAnsi="仿宋_GB2312" w:eastAsia="仿宋_GB2312" w:cs="仿宋_GB2312"/>
          <w:sz w:val="32"/>
          <w:szCs w:val="32"/>
        </w:rPr>
        <w:t>6</w:t>
      </w:r>
      <w:r>
        <w:rPr>
          <w:rFonts w:hint="eastAsia" w:ascii="仿宋_GB2312" w:hAnsi="仿宋_GB2312" w:eastAsia="仿宋_GB2312" w:cs="仿宋_GB2312"/>
          <w:sz w:val="32"/>
          <w:szCs w:val="32"/>
        </w:rPr>
        <w:t>，战略性新兴产业增加值占GDP比重达20%。</w:t>
      </w:r>
    </w:p>
    <w:p w14:paraId="4986B4F9">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改革开放迈出新步伐。</w:t>
      </w:r>
      <w:r>
        <w:rPr>
          <w:rFonts w:hint="eastAsia" w:ascii="Times New Roman" w:hAnsi="Times New Roman" w:eastAsia="仿宋_GB2312"/>
          <w:sz w:val="32"/>
          <w:szCs w:val="32"/>
        </w:rPr>
        <w:t>全面完成中省市提出的改革任务，重</w:t>
      </w:r>
      <w:r>
        <w:rPr>
          <w:rFonts w:hint="eastAsia" w:ascii="仿宋_GB2312" w:hAnsi="仿宋_GB2312" w:eastAsia="仿宋_GB2312" w:cs="仿宋_GB2312"/>
          <w:sz w:val="32"/>
          <w:szCs w:val="32"/>
        </w:rPr>
        <w:t>要领域和关键环节改革取得突破性成果，营商环境更加优化，市场主体充满活力，非公经济增加值占GDP比重进一步提升，产权制度改革和要素市场化配置改革取得重大进展。</w:t>
      </w:r>
      <w:r>
        <w:rPr>
          <w:rFonts w:hint="eastAsia" w:ascii="仿宋_GB2312" w:hAnsi="仿宋_GB2312" w:eastAsia="仿宋_GB2312" w:cs="仿宋_GB2312"/>
          <w:sz w:val="32"/>
          <w:szCs w:val="32"/>
          <w:lang w:eastAsia="zh-CN"/>
        </w:rPr>
        <w:t>“引进来”和“走出去”</w:t>
      </w:r>
      <w:r>
        <w:rPr>
          <w:rFonts w:hint="eastAsia" w:ascii="仿宋_GB2312" w:hAnsi="仿宋_GB2312" w:eastAsia="仿宋_GB2312" w:cs="仿宋_GB2312"/>
          <w:sz w:val="32"/>
          <w:szCs w:val="32"/>
        </w:rPr>
        <w:t>格局基本形成，国际化水平大幅提升。“十四五”期间，进出口贸易总额年均增长7%左右。</w:t>
      </w:r>
    </w:p>
    <w:p w14:paraId="0C9E0CD1">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社会文明程度得到新提高。</w:t>
      </w:r>
      <w:r>
        <w:rPr>
          <w:rFonts w:hint="eastAsia" w:ascii="Times New Roman" w:hAnsi="Times New Roman" w:eastAsia="仿宋_GB2312"/>
          <w:sz w:val="32"/>
          <w:szCs w:val="32"/>
        </w:rPr>
        <w:t>社会主义核心价值观深入人心，人民思想道德素质、科学文化素质和身心健康素质明显提高，金台文化优势更加彰显，公共文化服务水平持续提升，文化产业竞争力大幅增强，人民精神文化生活日益丰富。</w:t>
      </w:r>
    </w:p>
    <w:p w14:paraId="73AF9498">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生态文明建设实现新进步。</w:t>
      </w:r>
      <w:r>
        <w:rPr>
          <w:rFonts w:hint="eastAsia" w:ascii="仿宋_GB2312" w:hAnsi="仿宋_GB2312" w:eastAsia="仿宋_GB2312" w:cs="仿宋_GB2312"/>
          <w:sz w:val="32"/>
          <w:szCs w:val="32"/>
        </w:rPr>
        <w:t>国土空间开发保护格局得到优化，生产生活方式绿色转型成效显著，生态安全屏障更加牢固，生态环境质量实现根本好转，人与自然和谐共生、相得益彰，重点行业单位工业增加值能耗物耗及污染物排放达到国内领先水平。到2025年，单位生产总值能耗较“十三五”末累计降低12%，森林覆盖率达到35%。</w:t>
      </w:r>
    </w:p>
    <w:p w14:paraId="52094112">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民生福祉达到新水平。</w:t>
      </w:r>
      <w:r>
        <w:rPr>
          <w:rFonts w:hint="eastAsia" w:ascii="仿宋_GB2312" w:hAnsi="仿宋_GB2312" w:eastAsia="仿宋_GB2312" w:cs="仿宋_GB2312"/>
          <w:sz w:val="32"/>
          <w:szCs w:val="32"/>
        </w:rPr>
        <w:t>城乡居民收入增长与经济增长保持同步，实现更加充分更高质量就业，社会保障体系更加完善，公共服务体系更加健全，全民受教育程度不断提升，市民健康水平和生活品质不断提高，</w:t>
      </w:r>
      <w:r>
        <w:rPr>
          <w:rFonts w:hint="eastAsia" w:ascii="仿宋_GB2312" w:hAnsi="仿宋_GB2312" w:eastAsia="仿宋_GB2312" w:cs="仿宋_GB2312"/>
          <w:sz w:val="32"/>
          <w:szCs w:val="32"/>
          <w:lang w:eastAsia="zh-CN"/>
        </w:rPr>
        <w:t>巩固拓展脱贫攻坚成果</w:t>
      </w:r>
      <w:r>
        <w:rPr>
          <w:rFonts w:hint="eastAsia" w:ascii="仿宋_GB2312" w:hAnsi="仿宋_GB2312" w:eastAsia="仿宋_GB2312" w:cs="仿宋_GB2312"/>
          <w:sz w:val="32"/>
          <w:szCs w:val="32"/>
        </w:rPr>
        <w:t>，乡村振兴战略全面推进。到2025年，城乡居民人均可支配收入分别达到50000元、2</w:t>
      </w:r>
      <w:r>
        <w:rPr>
          <w:rFonts w:ascii="仿宋_GB2312" w:hAnsi="仿宋_GB2312" w:eastAsia="仿宋_GB2312" w:cs="仿宋_GB2312"/>
          <w:sz w:val="32"/>
          <w:szCs w:val="32"/>
        </w:rPr>
        <w:t>33</w:t>
      </w:r>
      <w:r>
        <w:rPr>
          <w:rFonts w:hint="eastAsia" w:ascii="仿宋_GB2312" w:hAnsi="仿宋_GB2312" w:eastAsia="仿宋_GB2312" w:cs="仿宋_GB2312"/>
          <w:sz w:val="32"/>
          <w:szCs w:val="32"/>
        </w:rPr>
        <w:t>00元。</w:t>
      </w:r>
    </w:p>
    <w:p w14:paraId="0C66439F">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治理效能得到新提升。</w:t>
      </w:r>
      <w:r>
        <w:rPr>
          <w:rFonts w:hint="eastAsia" w:ascii="Times New Roman" w:hAnsi="Times New Roman" w:eastAsia="仿宋_GB2312"/>
          <w:sz w:val="32"/>
          <w:szCs w:val="32"/>
        </w:rPr>
        <w:t>行政效率、公信力、现代化治理水平显著提升，平安金台建设扎实推进，公共安全体系更加完善，应急保障能力建设取得明显成效，共建共享共治的社会治理新格局基本形成。</w:t>
      </w:r>
    </w:p>
    <w:p w14:paraId="6C4ADC54">
      <w:pPr>
        <w:widowControl w:val="0"/>
        <w:adjustRightInd w:val="0"/>
        <w:snapToGrid w:val="0"/>
        <w:spacing w:line="560" w:lineRule="exact"/>
        <w:jc w:val="center"/>
        <w:rPr>
          <w:rFonts w:ascii="Times New Roman" w:hAnsi="Times New Roman" w:eastAsia="黑体"/>
          <w:sz w:val="28"/>
          <w:szCs w:val="28"/>
        </w:rPr>
      </w:pPr>
      <w:bookmarkStart w:id="93" w:name="_Toc42610344"/>
      <w:bookmarkStart w:id="94" w:name="_Toc49276051"/>
      <w:bookmarkStart w:id="95" w:name="_Toc50710093"/>
      <w:r>
        <w:rPr>
          <w:rFonts w:hint="eastAsia" w:ascii="Times New Roman" w:hAnsi="Times New Roman" w:eastAsia="黑体"/>
          <w:sz w:val="28"/>
          <w:szCs w:val="28"/>
        </w:rPr>
        <w:t>金台区“十四五”高质量发展指标体系</w:t>
      </w:r>
    </w:p>
    <w:tbl>
      <w:tblPr>
        <w:tblStyle w:val="29"/>
        <w:tblW w:w="5012"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574"/>
        <w:gridCol w:w="581"/>
        <w:gridCol w:w="4104"/>
        <w:gridCol w:w="855"/>
        <w:gridCol w:w="853"/>
        <w:gridCol w:w="1041"/>
        <w:gridCol w:w="878"/>
      </w:tblGrid>
      <w:tr w14:paraId="5194875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tblHeader/>
          <w:jc w:val="center"/>
        </w:trPr>
        <w:tc>
          <w:tcPr>
            <w:tcW w:w="323" w:type="pct"/>
            <w:vAlign w:val="center"/>
          </w:tcPr>
          <w:p w14:paraId="375BFBCB">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类别</w:t>
            </w:r>
          </w:p>
        </w:tc>
        <w:tc>
          <w:tcPr>
            <w:tcW w:w="327" w:type="pct"/>
            <w:vAlign w:val="center"/>
          </w:tcPr>
          <w:p w14:paraId="64CFDB83">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序号</w:t>
            </w:r>
          </w:p>
        </w:tc>
        <w:tc>
          <w:tcPr>
            <w:tcW w:w="2309" w:type="pct"/>
            <w:vAlign w:val="center"/>
          </w:tcPr>
          <w:p w14:paraId="4B3B9B20">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指标名称</w:t>
            </w:r>
          </w:p>
        </w:tc>
        <w:tc>
          <w:tcPr>
            <w:tcW w:w="481" w:type="pct"/>
            <w:vAlign w:val="center"/>
          </w:tcPr>
          <w:p w14:paraId="0BAF78E7">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2020</w:t>
            </w:r>
            <w:r>
              <w:rPr>
                <w:rFonts w:hint="eastAsia" w:ascii="Times New Roman" w:hAnsi="Times New Roman" w:cs="宋体"/>
                <w:b/>
                <w:bCs/>
                <w:kern w:val="0"/>
                <w:szCs w:val="21"/>
              </w:rPr>
              <w:t>年</w:t>
            </w:r>
          </w:p>
        </w:tc>
        <w:tc>
          <w:tcPr>
            <w:tcW w:w="480" w:type="pct"/>
            <w:vAlign w:val="center"/>
          </w:tcPr>
          <w:p w14:paraId="656E6880">
            <w:pPr>
              <w:adjustRightInd w:val="0"/>
              <w:snapToGrid w:val="0"/>
              <w:jc w:val="center"/>
              <w:rPr>
                <w:rFonts w:ascii="Times New Roman" w:hAnsi="Times New Roman" w:cs="宋体"/>
                <w:b/>
                <w:bCs/>
                <w:kern w:val="0"/>
                <w:szCs w:val="21"/>
              </w:rPr>
            </w:pPr>
            <w:r>
              <w:rPr>
                <w:rFonts w:ascii="Times New Roman" w:hAnsi="Times New Roman" w:cs="宋体"/>
                <w:b/>
                <w:bCs/>
                <w:kern w:val="0"/>
                <w:szCs w:val="21"/>
              </w:rPr>
              <w:t>2025</w:t>
            </w:r>
            <w:r>
              <w:rPr>
                <w:rFonts w:hint="eastAsia" w:ascii="Times New Roman" w:hAnsi="Times New Roman" w:cs="宋体"/>
                <w:b/>
                <w:bCs/>
                <w:kern w:val="0"/>
                <w:szCs w:val="21"/>
              </w:rPr>
              <w:t>年</w:t>
            </w:r>
          </w:p>
        </w:tc>
        <w:tc>
          <w:tcPr>
            <w:tcW w:w="586" w:type="pct"/>
            <w:vAlign w:val="center"/>
          </w:tcPr>
          <w:p w14:paraId="5FBAB04B">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年均增长（</w:t>
            </w:r>
            <w:r>
              <w:rPr>
                <w:rFonts w:ascii="Times New Roman" w:hAnsi="Times New Roman" w:cs="宋体"/>
                <w:b/>
                <w:bCs/>
                <w:kern w:val="0"/>
                <w:szCs w:val="21"/>
              </w:rPr>
              <w:t>%</w:t>
            </w:r>
            <w:r>
              <w:rPr>
                <w:rFonts w:hint="eastAsia" w:ascii="Times New Roman" w:hAnsi="Times New Roman" w:cs="宋体"/>
                <w:b/>
                <w:bCs/>
                <w:kern w:val="0"/>
                <w:szCs w:val="21"/>
              </w:rPr>
              <w:t>）</w:t>
            </w:r>
          </w:p>
        </w:tc>
        <w:tc>
          <w:tcPr>
            <w:tcW w:w="494" w:type="pct"/>
            <w:vAlign w:val="center"/>
          </w:tcPr>
          <w:p w14:paraId="145605B8">
            <w:pPr>
              <w:adjustRightInd w:val="0"/>
              <w:snapToGrid w:val="0"/>
              <w:jc w:val="center"/>
              <w:rPr>
                <w:rFonts w:ascii="Times New Roman" w:hAnsi="Times New Roman" w:cs="宋体"/>
                <w:b/>
                <w:bCs/>
                <w:kern w:val="0"/>
                <w:szCs w:val="21"/>
              </w:rPr>
            </w:pPr>
            <w:r>
              <w:rPr>
                <w:rFonts w:hint="eastAsia" w:ascii="Times New Roman" w:hAnsi="Times New Roman" w:cs="宋体"/>
                <w:b/>
                <w:bCs/>
                <w:kern w:val="0"/>
                <w:szCs w:val="21"/>
              </w:rPr>
              <w:t>属性</w:t>
            </w:r>
          </w:p>
        </w:tc>
      </w:tr>
      <w:tr w14:paraId="1019F95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15A7E15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经济增长</w:t>
            </w:r>
          </w:p>
        </w:tc>
        <w:tc>
          <w:tcPr>
            <w:tcW w:w="327" w:type="pct"/>
            <w:vAlign w:val="center"/>
          </w:tcPr>
          <w:p w14:paraId="10B84B7C">
            <w:pPr>
              <w:adjustRightInd w:val="0"/>
              <w:snapToGrid w:val="0"/>
              <w:jc w:val="center"/>
              <w:rPr>
                <w:rFonts w:ascii="Times New Roman" w:hAnsi="Times New Roman" w:cs="宋体"/>
                <w:kern w:val="0"/>
                <w:szCs w:val="21"/>
              </w:rPr>
            </w:pPr>
            <w:r>
              <w:rPr>
                <w:rFonts w:ascii="Times New Roman" w:hAnsi="Times New Roman" w:cs="宋体"/>
                <w:kern w:val="0"/>
                <w:szCs w:val="21"/>
              </w:rPr>
              <w:t>1</w:t>
            </w:r>
          </w:p>
        </w:tc>
        <w:tc>
          <w:tcPr>
            <w:tcW w:w="2309" w:type="pct"/>
            <w:vAlign w:val="center"/>
          </w:tcPr>
          <w:p w14:paraId="751C39D1">
            <w:pPr>
              <w:adjustRightInd w:val="0"/>
              <w:snapToGrid w:val="0"/>
              <w:rPr>
                <w:rFonts w:ascii="Times New Roman" w:hAnsi="Times New Roman" w:cs="宋体"/>
                <w:kern w:val="0"/>
                <w:szCs w:val="21"/>
              </w:rPr>
            </w:pPr>
            <w:r>
              <w:rPr>
                <w:rFonts w:hint="eastAsia" w:ascii="Times New Roman" w:hAnsi="Times New Roman" w:cs="宋体"/>
                <w:kern w:val="0"/>
                <w:szCs w:val="21"/>
              </w:rPr>
              <w:t>地区生产总值（亿元）</w:t>
            </w:r>
          </w:p>
        </w:tc>
        <w:tc>
          <w:tcPr>
            <w:tcW w:w="481" w:type="pct"/>
            <w:noWrap/>
            <w:vAlign w:val="center"/>
          </w:tcPr>
          <w:p w14:paraId="0561FA4A">
            <w:pPr>
              <w:adjustRightInd w:val="0"/>
              <w:snapToGrid w:val="0"/>
              <w:jc w:val="center"/>
              <w:rPr>
                <w:rFonts w:ascii="Times New Roman" w:hAnsi="Times New Roman" w:cs="宋体"/>
                <w:kern w:val="0"/>
                <w:szCs w:val="21"/>
              </w:rPr>
            </w:pPr>
            <w:r>
              <w:rPr>
                <w:rFonts w:ascii="Times New Roman" w:hAnsi="Times New Roman" w:cs="宋体"/>
                <w:kern w:val="0"/>
                <w:szCs w:val="21"/>
              </w:rPr>
              <w:t>36</w:t>
            </w:r>
            <w:r>
              <w:rPr>
                <w:rFonts w:hint="eastAsia" w:ascii="Times New Roman" w:hAnsi="Times New Roman" w:cs="宋体"/>
                <w:kern w:val="0"/>
                <w:szCs w:val="21"/>
              </w:rPr>
              <w:t>2.5</w:t>
            </w:r>
          </w:p>
        </w:tc>
        <w:tc>
          <w:tcPr>
            <w:tcW w:w="480" w:type="pct"/>
            <w:noWrap/>
            <w:vAlign w:val="center"/>
          </w:tcPr>
          <w:p w14:paraId="5B1007C2">
            <w:pPr>
              <w:adjustRightInd w:val="0"/>
              <w:snapToGrid w:val="0"/>
              <w:jc w:val="center"/>
              <w:rPr>
                <w:rFonts w:ascii="Times New Roman" w:hAnsi="Times New Roman" w:cs="宋体"/>
                <w:kern w:val="0"/>
                <w:szCs w:val="21"/>
              </w:rPr>
            </w:pPr>
            <w:r>
              <w:rPr>
                <w:rFonts w:ascii="Times New Roman" w:hAnsi="Times New Roman" w:cs="宋体"/>
                <w:kern w:val="0"/>
                <w:szCs w:val="21"/>
              </w:rPr>
              <w:t>485</w:t>
            </w:r>
          </w:p>
        </w:tc>
        <w:tc>
          <w:tcPr>
            <w:tcW w:w="586" w:type="pct"/>
            <w:noWrap/>
            <w:vAlign w:val="center"/>
          </w:tcPr>
          <w:p w14:paraId="5CF92D06">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左右</w:t>
            </w:r>
          </w:p>
        </w:tc>
        <w:tc>
          <w:tcPr>
            <w:tcW w:w="494" w:type="pct"/>
            <w:noWrap/>
            <w:vAlign w:val="center"/>
          </w:tcPr>
          <w:p w14:paraId="54126FE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11F75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A71A31C">
            <w:pPr>
              <w:adjustRightInd w:val="0"/>
              <w:snapToGrid w:val="0"/>
              <w:rPr>
                <w:rFonts w:ascii="Times New Roman" w:hAnsi="Times New Roman" w:cs="宋体"/>
                <w:kern w:val="0"/>
                <w:szCs w:val="21"/>
              </w:rPr>
            </w:pPr>
          </w:p>
        </w:tc>
        <w:tc>
          <w:tcPr>
            <w:tcW w:w="327" w:type="pct"/>
            <w:vAlign w:val="center"/>
          </w:tcPr>
          <w:p w14:paraId="115B7AA1">
            <w:pPr>
              <w:adjustRightInd w:val="0"/>
              <w:snapToGrid w:val="0"/>
              <w:jc w:val="center"/>
              <w:rPr>
                <w:rFonts w:ascii="Times New Roman" w:hAnsi="Times New Roman" w:cs="宋体"/>
                <w:kern w:val="0"/>
                <w:szCs w:val="21"/>
              </w:rPr>
            </w:pPr>
            <w:r>
              <w:rPr>
                <w:rFonts w:ascii="Times New Roman" w:hAnsi="Times New Roman" w:cs="宋体"/>
                <w:kern w:val="0"/>
                <w:szCs w:val="21"/>
              </w:rPr>
              <w:t>2</w:t>
            </w:r>
          </w:p>
        </w:tc>
        <w:tc>
          <w:tcPr>
            <w:tcW w:w="2309" w:type="pct"/>
            <w:vAlign w:val="center"/>
          </w:tcPr>
          <w:p w14:paraId="5245FB85">
            <w:pPr>
              <w:adjustRightInd w:val="0"/>
              <w:snapToGrid w:val="0"/>
              <w:rPr>
                <w:rFonts w:ascii="Times New Roman" w:hAnsi="Times New Roman" w:cs="宋体"/>
                <w:kern w:val="0"/>
                <w:szCs w:val="21"/>
              </w:rPr>
            </w:pPr>
            <w:r>
              <w:rPr>
                <w:rFonts w:hint="eastAsia" w:ascii="Times New Roman" w:hAnsi="Times New Roman" w:cs="宋体"/>
                <w:kern w:val="0"/>
                <w:szCs w:val="21"/>
              </w:rPr>
              <w:t>全社会固定资产投资增速（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CAA113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8.0</w:t>
            </w:r>
          </w:p>
        </w:tc>
        <w:tc>
          <w:tcPr>
            <w:tcW w:w="480" w:type="pct"/>
            <w:noWrap/>
            <w:vAlign w:val="center"/>
          </w:tcPr>
          <w:p w14:paraId="492350EB">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337A094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6</w:t>
            </w:r>
          </w:p>
        </w:tc>
        <w:tc>
          <w:tcPr>
            <w:tcW w:w="494" w:type="pct"/>
            <w:noWrap/>
            <w:vAlign w:val="center"/>
          </w:tcPr>
          <w:p w14:paraId="2018B6C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DB4A9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88A0D8F">
            <w:pPr>
              <w:adjustRightInd w:val="0"/>
              <w:snapToGrid w:val="0"/>
              <w:rPr>
                <w:rFonts w:ascii="Times New Roman" w:hAnsi="Times New Roman" w:cs="宋体"/>
                <w:kern w:val="0"/>
                <w:szCs w:val="21"/>
              </w:rPr>
            </w:pPr>
          </w:p>
        </w:tc>
        <w:tc>
          <w:tcPr>
            <w:tcW w:w="327" w:type="pct"/>
            <w:vAlign w:val="center"/>
          </w:tcPr>
          <w:p w14:paraId="4B97BCBB">
            <w:pPr>
              <w:adjustRightInd w:val="0"/>
              <w:snapToGrid w:val="0"/>
              <w:jc w:val="center"/>
              <w:rPr>
                <w:rFonts w:ascii="Times New Roman" w:hAnsi="Times New Roman" w:cs="宋体"/>
                <w:kern w:val="0"/>
                <w:szCs w:val="21"/>
              </w:rPr>
            </w:pPr>
            <w:r>
              <w:rPr>
                <w:rFonts w:ascii="Times New Roman" w:hAnsi="Times New Roman" w:cs="宋体"/>
                <w:kern w:val="0"/>
                <w:szCs w:val="21"/>
              </w:rPr>
              <w:t>3</w:t>
            </w:r>
          </w:p>
        </w:tc>
        <w:tc>
          <w:tcPr>
            <w:tcW w:w="2309" w:type="pct"/>
            <w:vAlign w:val="center"/>
          </w:tcPr>
          <w:p w14:paraId="602D776A">
            <w:pPr>
              <w:adjustRightInd w:val="0"/>
              <w:snapToGrid w:val="0"/>
              <w:rPr>
                <w:rFonts w:ascii="Times New Roman" w:hAnsi="Times New Roman" w:cs="宋体"/>
                <w:kern w:val="0"/>
                <w:szCs w:val="21"/>
              </w:rPr>
            </w:pPr>
            <w:r>
              <w:rPr>
                <w:rFonts w:hint="eastAsia" w:ascii="Times New Roman" w:hAnsi="Times New Roman" w:cs="宋体"/>
                <w:kern w:val="0"/>
                <w:szCs w:val="21"/>
              </w:rPr>
              <w:t>社会消费品零售总额（亿元）</w:t>
            </w:r>
          </w:p>
        </w:tc>
        <w:tc>
          <w:tcPr>
            <w:tcW w:w="481" w:type="pct"/>
            <w:noWrap/>
            <w:vAlign w:val="center"/>
          </w:tcPr>
          <w:p w14:paraId="4E83DC1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159.6</w:t>
            </w:r>
          </w:p>
        </w:tc>
        <w:tc>
          <w:tcPr>
            <w:tcW w:w="480" w:type="pct"/>
            <w:noWrap/>
            <w:vAlign w:val="center"/>
          </w:tcPr>
          <w:p w14:paraId="1620C15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2060816">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3169FF9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C0BF8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188A247">
            <w:pPr>
              <w:adjustRightInd w:val="0"/>
              <w:snapToGrid w:val="0"/>
              <w:rPr>
                <w:rFonts w:ascii="Times New Roman" w:hAnsi="Times New Roman" w:cs="宋体"/>
                <w:kern w:val="0"/>
                <w:szCs w:val="21"/>
              </w:rPr>
            </w:pPr>
          </w:p>
        </w:tc>
        <w:tc>
          <w:tcPr>
            <w:tcW w:w="327" w:type="pct"/>
            <w:vAlign w:val="center"/>
          </w:tcPr>
          <w:p w14:paraId="1FD5DBB4">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2309" w:type="pct"/>
            <w:vAlign w:val="center"/>
          </w:tcPr>
          <w:p w14:paraId="7123FAD4">
            <w:pPr>
              <w:adjustRightInd w:val="0"/>
              <w:snapToGrid w:val="0"/>
              <w:rPr>
                <w:rFonts w:ascii="Times New Roman" w:hAnsi="Times New Roman" w:cs="宋体"/>
                <w:kern w:val="0"/>
                <w:szCs w:val="21"/>
              </w:rPr>
            </w:pPr>
            <w:r>
              <w:rPr>
                <w:rFonts w:hint="eastAsia" w:ascii="Times New Roman" w:hAnsi="Times New Roman" w:cs="宋体"/>
                <w:kern w:val="0"/>
                <w:szCs w:val="21"/>
              </w:rPr>
              <w:t>规上工业增加值增速（</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1CC0D7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1.1</w:t>
            </w:r>
          </w:p>
        </w:tc>
        <w:tc>
          <w:tcPr>
            <w:tcW w:w="480" w:type="pct"/>
            <w:noWrap/>
            <w:vAlign w:val="center"/>
          </w:tcPr>
          <w:p w14:paraId="3D1B397E">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5D492978">
            <w:pPr>
              <w:adjustRightInd w:val="0"/>
              <w:snapToGrid w:val="0"/>
              <w:jc w:val="center"/>
              <w:rPr>
                <w:rFonts w:ascii="Times New Roman" w:hAnsi="Times New Roman" w:cs="宋体"/>
                <w:kern w:val="0"/>
                <w:szCs w:val="21"/>
              </w:rPr>
            </w:pPr>
            <w:r>
              <w:rPr>
                <w:rFonts w:ascii="Times New Roman" w:hAnsi="Times New Roman" w:cs="宋体"/>
                <w:kern w:val="0"/>
                <w:szCs w:val="21"/>
              </w:rPr>
              <w:t>6</w:t>
            </w:r>
            <w:r>
              <w:rPr>
                <w:rFonts w:hint="eastAsia" w:ascii="Times New Roman" w:hAnsi="Times New Roman" w:cs="宋体"/>
                <w:kern w:val="0"/>
                <w:szCs w:val="21"/>
              </w:rPr>
              <w:t>.5</w:t>
            </w:r>
          </w:p>
        </w:tc>
        <w:tc>
          <w:tcPr>
            <w:tcW w:w="494" w:type="pct"/>
            <w:noWrap/>
            <w:vAlign w:val="center"/>
          </w:tcPr>
          <w:p w14:paraId="5A77C52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6B144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D37A28E">
            <w:pPr>
              <w:adjustRightInd w:val="0"/>
              <w:snapToGrid w:val="0"/>
              <w:rPr>
                <w:rFonts w:ascii="Times New Roman" w:hAnsi="Times New Roman" w:cs="宋体"/>
                <w:kern w:val="0"/>
                <w:szCs w:val="21"/>
              </w:rPr>
            </w:pPr>
          </w:p>
        </w:tc>
        <w:tc>
          <w:tcPr>
            <w:tcW w:w="327" w:type="pct"/>
            <w:vAlign w:val="center"/>
          </w:tcPr>
          <w:p w14:paraId="26278C3F">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2309" w:type="pct"/>
            <w:vAlign w:val="center"/>
          </w:tcPr>
          <w:p w14:paraId="0C8C7B8D">
            <w:pPr>
              <w:adjustRightInd w:val="0"/>
              <w:snapToGrid w:val="0"/>
              <w:rPr>
                <w:rFonts w:ascii="Times New Roman" w:hAnsi="Times New Roman" w:cs="宋体"/>
                <w:kern w:val="0"/>
                <w:szCs w:val="21"/>
              </w:rPr>
            </w:pPr>
            <w:r>
              <w:rPr>
                <w:rFonts w:hint="eastAsia" w:ascii="Times New Roman" w:hAnsi="Times New Roman" w:cs="宋体"/>
                <w:kern w:val="0"/>
                <w:szCs w:val="21"/>
              </w:rPr>
              <w:t>先进制造业占地区生产总值比重（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ED6914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54B96E4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20</w:t>
            </w:r>
          </w:p>
        </w:tc>
        <w:tc>
          <w:tcPr>
            <w:tcW w:w="586" w:type="pct"/>
            <w:noWrap/>
            <w:vAlign w:val="center"/>
          </w:tcPr>
          <w:p w14:paraId="2F088EE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58DC17A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15F2EAC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635358B">
            <w:pPr>
              <w:adjustRightInd w:val="0"/>
              <w:snapToGrid w:val="0"/>
              <w:rPr>
                <w:rFonts w:ascii="Times New Roman" w:hAnsi="Times New Roman" w:cs="宋体"/>
                <w:kern w:val="0"/>
                <w:szCs w:val="21"/>
              </w:rPr>
            </w:pPr>
          </w:p>
        </w:tc>
        <w:tc>
          <w:tcPr>
            <w:tcW w:w="327" w:type="pct"/>
            <w:vAlign w:val="center"/>
          </w:tcPr>
          <w:p w14:paraId="27B55C5A">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2309" w:type="pct"/>
            <w:vAlign w:val="center"/>
          </w:tcPr>
          <w:p w14:paraId="183EC639">
            <w:pPr>
              <w:adjustRightInd w:val="0"/>
              <w:snapToGrid w:val="0"/>
              <w:rPr>
                <w:rFonts w:ascii="Times New Roman" w:hAnsi="Times New Roman" w:cs="宋体"/>
                <w:kern w:val="0"/>
                <w:szCs w:val="21"/>
              </w:rPr>
            </w:pPr>
            <w:r>
              <w:rPr>
                <w:rFonts w:hint="eastAsia" w:ascii="Times New Roman" w:hAnsi="Times New Roman" w:cs="宋体"/>
                <w:kern w:val="0"/>
                <w:szCs w:val="21"/>
              </w:rPr>
              <w:t>现代服务业占地区生产总值比重（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223894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7D1E52FC">
            <w:pPr>
              <w:adjustRightInd w:val="0"/>
              <w:snapToGrid w:val="0"/>
              <w:jc w:val="center"/>
              <w:rPr>
                <w:rFonts w:ascii="Times New Roman" w:hAnsi="Times New Roman" w:cs="宋体"/>
                <w:kern w:val="0"/>
                <w:szCs w:val="21"/>
              </w:rPr>
            </w:pPr>
            <w:r>
              <w:rPr>
                <w:rFonts w:ascii="Times New Roman" w:hAnsi="Times New Roman" w:cs="宋体"/>
                <w:kern w:val="0"/>
                <w:szCs w:val="21"/>
              </w:rPr>
              <w:t>30</w:t>
            </w:r>
          </w:p>
        </w:tc>
        <w:tc>
          <w:tcPr>
            <w:tcW w:w="586" w:type="pct"/>
            <w:noWrap/>
            <w:vAlign w:val="center"/>
          </w:tcPr>
          <w:p w14:paraId="5DB6AED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548DECE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E5932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E6888F3">
            <w:pPr>
              <w:adjustRightInd w:val="0"/>
              <w:snapToGrid w:val="0"/>
              <w:rPr>
                <w:rFonts w:ascii="Times New Roman" w:hAnsi="Times New Roman" w:cs="宋体"/>
                <w:kern w:val="0"/>
                <w:szCs w:val="21"/>
              </w:rPr>
            </w:pPr>
          </w:p>
        </w:tc>
        <w:tc>
          <w:tcPr>
            <w:tcW w:w="327" w:type="pct"/>
            <w:vAlign w:val="center"/>
          </w:tcPr>
          <w:p w14:paraId="58649D7E">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2309" w:type="pct"/>
            <w:vAlign w:val="center"/>
          </w:tcPr>
          <w:p w14:paraId="6E5537FC">
            <w:pPr>
              <w:adjustRightInd w:val="0"/>
              <w:snapToGrid w:val="0"/>
              <w:rPr>
                <w:rFonts w:ascii="Times New Roman" w:hAnsi="Times New Roman" w:cs="宋体"/>
                <w:kern w:val="0"/>
                <w:szCs w:val="21"/>
              </w:rPr>
            </w:pPr>
            <w:r>
              <w:rPr>
                <w:rFonts w:hint="eastAsia" w:ascii="Times New Roman" w:hAnsi="Times New Roman" w:cs="宋体"/>
                <w:kern w:val="0"/>
                <w:szCs w:val="21"/>
              </w:rPr>
              <w:t>数字经济核心产业占地区生产总值比重（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5D4FDAA">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12554B9C">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586" w:type="pct"/>
            <w:noWrap/>
            <w:vAlign w:val="center"/>
          </w:tcPr>
          <w:p w14:paraId="07F5335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94" w:type="pct"/>
            <w:noWrap/>
            <w:vAlign w:val="center"/>
          </w:tcPr>
          <w:p w14:paraId="28484FF4">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659279A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49738A68">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创新驱动</w:t>
            </w:r>
          </w:p>
        </w:tc>
        <w:tc>
          <w:tcPr>
            <w:tcW w:w="327" w:type="pct"/>
            <w:vAlign w:val="center"/>
          </w:tcPr>
          <w:p w14:paraId="47A5AD29">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2309" w:type="pct"/>
            <w:vAlign w:val="center"/>
          </w:tcPr>
          <w:p w14:paraId="0BB8BDA4">
            <w:pPr>
              <w:adjustRightInd w:val="0"/>
              <w:snapToGrid w:val="0"/>
              <w:rPr>
                <w:rFonts w:ascii="Times New Roman" w:hAnsi="Times New Roman" w:cs="宋体"/>
                <w:kern w:val="0"/>
                <w:szCs w:val="21"/>
              </w:rPr>
            </w:pPr>
            <w:r>
              <w:rPr>
                <w:rFonts w:hint="eastAsia" w:ascii="Times New Roman" w:hAnsi="Times New Roman" w:cs="宋体"/>
                <w:kern w:val="0"/>
                <w:szCs w:val="21"/>
              </w:rPr>
              <w:t>研究与开发投入占</w:t>
            </w:r>
            <w:r>
              <w:rPr>
                <w:rFonts w:ascii="Times New Roman" w:hAnsi="Times New Roman" w:cs="宋体"/>
                <w:kern w:val="0"/>
                <w:szCs w:val="21"/>
              </w:rPr>
              <w:t>GDP比重（%）</w:t>
            </w:r>
          </w:p>
        </w:tc>
        <w:tc>
          <w:tcPr>
            <w:tcW w:w="481" w:type="pct"/>
            <w:noWrap/>
            <w:vAlign w:val="center"/>
          </w:tcPr>
          <w:p w14:paraId="61F0F718">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480" w:type="pct"/>
            <w:noWrap/>
            <w:vAlign w:val="center"/>
          </w:tcPr>
          <w:p w14:paraId="440B545A">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586" w:type="pct"/>
            <w:noWrap/>
            <w:vAlign w:val="center"/>
          </w:tcPr>
          <w:p w14:paraId="374D8597">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0691B39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60DC7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DE47465">
            <w:pPr>
              <w:adjustRightInd w:val="0"/>
              <w:snapToGrid w:val="0"/>
              <w:rPr>
                <w:rFonts w:ascii="Times New Roman" w:hAnsi="Times New Roman" w:cs="宋体"/>
                <w:kern w:val="0"/>
                <w:szCs w:val="21"/>
              </w:rPr>
            </w:pPr>
          </w:p>
        </w:tc>
        <w:tc>
          <w:tcPr>
            <w:tcW w:w="327" w:type="pct"/>
            <w:vAlign w:val="center"/>
          </w:tcPr>
          <w:p w14:paraId="490EEEAD">
            <w:pPr>
              <w:adjustRightInd w:val="0"/>
              <w:snapToGrid w:val="0"/>
              <w:jc w:val="center"/>
              <w:rPr>
                <w:rFonts w:ascii="Times New Roman" w:hAnsi="Times New Roman" w:cs="宋体"/>
                <w:kern w:val="0"/>
                <w:szCs w:val="21"/>
              </w:rPr>
            </w:pPr>
            <w:r>
              <w:rPr>
                <w:rFonts w:ascii="Times New Roman" w:hAnsi="Times New Roman" w:cs="宋体"/>
                <w:kern w:val="0"/>
                <w:szCs w:val="21"/>
              </w:rPr>
              <w:t>9</w:t>
            </w:r>
          </w:p>
        </w:tc>
        <w:tc>
          <w:tcPr>
            <w:tcW w:w="2309" w:type="pct"/>
            <w:vAlign w:val="center"/>
          </w:tcPr>
          <w:p w14:paraId="2AE5EF9A">
            <w:pPr>
              <w:adjustRightInd w:val="0"/>
              <w:snapToGrid w:val="0"/>
              <w:rPr>
                <w:rFonts w:ascii="Times New Roman" w:hAnsi="Times New Roman" w:cs="宋体"/>
                <w:kern w:val="0"/>
                <w:szCs w:val="21"/>
              </w:rPr>
            </w:pPr>
            <w:r>
              <w:rPr>
                <w:rFonts w:hint="eastAsia" w:ascii="Times New Roman" w:hAnsi="Times New Roman" w:cs="宋体"/>
                <w:kern w:val="0"/>
                <w:szCs w:val="21"/>
              </w:rPr>
              <w:t>科技进步贡献率（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F9D939D">
            <w:pPr>
              <w:adjustRightInd w:val="0"/>
              <w:snapToGrid w:val="0"/>
              <w:jc w:val="center"/>
              <w:rPr>
                <w:rFonts w:ascii="Times New Roman" w:hAnsi="Times New Roman" w:cs="宋体"/>
                <w:kern w:val="0"/>
                <w:szCs w:val="21"/>
              </w:rPr>
            </w:pPr>
            <w:r>
              <w:rPr>
                <w:rFonts w:ascii="Times New Roman" w:hAnsi="Times New Roman" w:cs="宋体"/>
                <w:kern w:val="0"/>
                <w:szCs w:val="21"/>
              </w:rPr>
              <w:t>61</w:t>
            </w:r>
          </w:p>
        </w:tc>
        <w:tc>
          <w:tcPr>
            <w:tcW w:w="480" w:type="pct"/>
            <w:noWrap/>
            <w:vAlign w:val="center"/>
          </w:tcPr>
          <w:p w14:paraId="66FA0E3A">
            <w:pPr>
              <w:adjustRightInd w:val="0"/>
              <w:snapToGrid w:val="0"/>
              <w:jc w:val="center"/>
              <w:rPr>
                <w:rFonts w:ascii="Times New Roman" w:hAnsi="Times New Roman" w:cs="宋体"/>
                <w:kern w:val="0"/>
                <w:szCs w:val="21"/>
              </w:rPr>
            </w:pPr>
            <w:r>
              <w:rPr>
                <w:rFonts w:ascii="Times New Roman" w:hAnsi="Times New Roman" w:cs="宋体"/>
                <w:kern w:val="0"/>
                <w:szCs w:val="21"/>
              </w:rPr>
              <w:t>62</w:t>
            </w:r>
          </w:p>
        </w:tc>
        <w:tc>
          <w:tcPr>
            <w:tcW w:w="586" w:type="pct"/>
            <w:noWrap/>
            <w:vAlign w:val="center"/>
          </w:tcPr>
          <w:p w14:paraId="10A05F2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4AD887C9">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B1523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5085AE7">
            <w:pPr>
              <w:adjustRightInd w:val="0"/>
              <w:snapToGrid w:val="0"/>
              <w:rPr>
                <w:rFonts w:ascii="Times New Roman" w:hAnsi="Times New Roman" w:cs="宋体"/>
                <w:kern w:val="0"/>
                <w:szCs w:val="21"/>
              </w:rPr>
            </w:pPr>
          </w:p>
        </w:tc>
        <w:tc>
          <w:tcPr>
            <w:tcW w:w="327" w:type="pct"/>
            <w:vAlign w:val="center"/>
          </w:tcPr>
          <w:p w14:paraId="4A450792">
            <w:pPr>
              <w:adjustRightInd w:val="0"/>
              <w:snapToGrid w:val="0"/>
              <w:jc w:val="center"/>
              <w:rPr>
                <w:rFonts w:ascii="Times New Roman" w:hAnsi="Times New Roman" w:cs="宋体"/>
                <w:kern w:val="0"/>
                <w:szCs w:val="21"/>
              </w:rPr>
            </w:pPr>
            <w:r>
              <w:rPr>
                <w:rFonts w:ascii="Times New Roman" w:hAnsi="Times New Roman" w:cs="宋体"/>
                <w:kern w:val="0"/>
                <w:szCs w:val="21"/>
              </w:rPr>
              <w:t>10</w:t>
            </w:r>
          </w:p>
        </w:tc>
        <w:tc>
          <w:tcPr>
            <w:tcW w:w="2309" w:type="pct"/>
            <w:vAlign w:val="center"/>
          </w:tcPr>
          <w:p w14:paraId="453D766C">
            <w:pPr>
              <w:adjustRightInd w:val="0"/>
              <w:snapToGrid w:val="0"/>
              <w:rPr>
                <w:rFonts w:ascii="Times New Roman" w:hAnsi="Times New Roman" w:cs="宋体"/>
                <w:kern w:val="0"/>
                <w:szCs w:val="21"/>
              </w:rPr>
            </w:pPr>
            <w:r>
              <w:rPr>
                <w:rFonts w:hint="eastAsia" w:ascii="Times New Roman" w:hAnsi="Times New Roman" w:cs="宋体"/>
                <w:kern w:val="0"/>
                <w:szCs w:val="21"/>
              </w:rPr>
              <w:t>工业企业技术改造投资占工业固定资产投资比重（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96471FA">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00AC6016">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586" w:type="pct"/>
            <w:noWrap/>
            <w:vAlign w:val="center"/>
          </w:tcPr>
          <w:p w14:paraId="69F4AA85">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6134E37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D3FAA7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E4EB18B">
            <w:pPr>
              <w:adjustRightInd w:val="0"/>
              <w:snapToGrid w:val="0"/>
              <w:rPr>
                <w:rFonts w:ascii="Times New Roman" w:hAnsi="Times New Roman" w:cs="宋体"/>
                <w:kern w:val="0"/>
                <w:szCs w:val="21"/>
              </w:rPr>
            </w:pPr>
          </w:p>
        </w:tc>
        <w:tc>
          <w:tcPr>
            <w:tcW w:w="327" w:type="pct"/>
            <w:vAlign w:val="center"/>
          </w:tcPr>
          <w:p w14:paraId="2E25E0EB">
            <w:pPr>
              <w:adjustRightInd w:val="0"/>
              <w:snapToGrid w:val="0"/>
              <w:jc w:val="center"/>
              <w:rPr>
                <w:rFonts w:ascii="Times New Roman" w:hAnsi="Times New Roman" w:cs="宋体"/>
                <w:kern w:val="0"/>
                <w:szCs w:val="21"/>
              </w:rPr>
            </w:pPr>
            <w:r>
              <w:rPr>
                <w:rFonts w:ascii="Times New Roman" w:hAnsi="Times New Roman" w:cs="宋体"/>
                <w:kern w:val="0"/>
                <w:szCs w:val="21"/>
              </w:rPr>
              <w:t>11</w:t>
            </w:r>
          </w:p>
        </w:tc>
        <w:tc>
          <w:tcPr>
            <w:tcW w:w="2309" w:type="pct"/>
            <w:vAlign w:val="center"/>
          </w:tcPr>
          <w:p w14:paraId="770E0AAC">
            <w:pPr>
              <w:adjustRightInd w:val="0"/>
              <w:snapToGrid w:val="0"/>
              <w:rPr>
                <w:rFonts w:ascii="Times New Roman" w:hAnsi="Times New Roman" w:cs="宋体"/>
                <w:kern w:val="0"/>
                <w:szCs w:val="21"/>
              </w:rPr>
            </w:pPr>
            <w:r>
              <w:rPr>
                <w:rFonts w:hint="eastAsia" w:ascii="Times New Roman" w:hAnsi="Times New Roman" w:cs="宋体"/>
                <w:kern w:val="0"/>
                <w:szCs w:val="21"/>
              </w:rPr>
              <w:t>科技型中小企业入库（个）</w:t>
            </w:r>
          </w:p>
        </w:tc>
        <w:tc>
          <w:tcPr>
            <w:tcW w:w="481" w:type="pct"/>
            <w:noWrap/>
            <w:vAlign w:val="center"/>
          </w:tcPr>
          <w:p w14:paraId="68C46FA7">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480" w:type="pct"/>
            <w:noWrap/>
            <w:vAlign w:val="center"/>
          </w:tcPr>
          <w:p w14:paraId="48DFBE20">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586" w:type="pct"/>
            <w:noWrap/>
            <w:vAlign w:val="center"/>
          </w:tcPr>
          <w:p w14:paraId="17AF4552">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417CED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EC7AA7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48FDCCE">
            <w:pPr>
              <w:adjustRightInd w:val="0"/>
              <w:snapToGrid w:val="0"/>
              <w:rPr>
                <w:rFonts w:ascii="Times New Roman" w:hAnsi="Times New Roman" w:cs="宋体"/>
                <w:kern w:val="0"/>
                <w:szCs w:val="21"/>
              </w:rPr>
            </w:pPr>
          </w:p>
        </w:tc>
        <w:tc>
          <w:tcPr>
            <w:tcW w:w="327" w:type="pct"/>
            <w:vAlign w:val="center"/>
          </w:tcPr>
          <w:p w14:paraId="6C06DE5D">
            <w:pPr>
              <w:adjustRightInd w:val="0"/>
              <w:snapToGrid w:val="0"/>
              <w:jc w:val="center"/>
              <w:rPr>
                <w:rFonts w:ascii="Times New Roman" w:hAnsi="Times New Roman" w:cs="宋体"/>
                <w:kern w:val="0"/>
                <w:szCs w:val="21"/>
              </w:rPr>
            </w:pPr>
            <w:r>
              <w:rPr>
                <w:rFonts w:ascii="Times New Roman" w:hAnsi="Times New Roman" w:cs="宋体"/>
                <w:kern w:val="0"/>
                <w:szCs w:val="21"/>
              </w:rPr>
              <w:t>12</w:t>
            </w:r>
          </w:p>
        </w:tc>
        <w:tc>
          <w:tcPr>
            <w:tcW w:w="2309" w:type="pct"/>
            <w:vAlign w:val="center"/>
          </w:tcPr>
          <w:p w14:paraId="1676EAB5">
            <w:pPr>
              <w:adjustRightInd w:val="0"/>
              <w:snapToGrid w:val="0"/>
              <w:rPr>
                <w:rFonts w:ascii="Times New Roman" w:hAnsi="Times New Roman" w:cs="宋体"/>
                <w:kern w:val="0"/>
                <w:szCs w:val="21"/>
              </w:rPr>
            </w:pPr>
            <w:r>
              <w:rPr>
                <w:rFonts w:hint="eastAsia" w:ascii="Times New Roman" w:hAnsi="Times New Roman" w:cs="宋体"/>
                <w:kern w:val="0"/>
                <w:szCs w:val="21"/>
              </w:rPr>
              <w:t>战略性新兴产业增加值占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C2B5A8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309BA1AB">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586" w:type="pct"/>
            <w:noWrap/>
            <w:vAlign w:val="center"/>
          </w:tcPr>
          <w:p w14:paraId="681309CF">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117C165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4447FB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01CB53D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质量效益</w:t>
            </w:r>
          </w:p>
        </w:tc>
        <w:tc>
          <w:tcPr>
            <w:tcW w:w="327" w:type="pct"/>
            <w:vAlign w:val="center"/>
          </w:tcPr>
          <w:p w14:paraId="12D803E6">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2309" w:type="pct"/>
            <w:vAlign w:val="center"/>
          </w:tcPr>
          <w:p w14:paraId="56D5FF6E">
            <w:pPr>
              <w:adjustRightInd w:val="0"/>
              <w:snapToGrid w:val="0"/>
              <w:rPr>
                <w:rFonts w:ascii="Times New Roman" w:hAnsi="Times New Roman" w:cs="宋体"/>
                <w:kern w:val="0"/>
                <w:szCs w:val="21"/>
              </w:rPr>
            </w:pPr>
            <w:r>
              <w:rPr>
                <w:rFonts w:hint="eastAsia" w:ascii="Times New Roman" w:hAnsi="Times New Roman" w:cs="宋体"/>
                <w:kern w:val="0"/>
                <w:szCs w:val="21"/>
              </w:rPr>
              <w:t>地方财政收入（亿元）</w:t>
            </w:r>
          </w:p>
        </w:tc>
        <w:tc>
          <w:tcPr>
            <w:tcW w:w="481" w:type="pct"/>
            <w:noWrap/>
            <w:vAlign w:val="center"/>
          </w:tcPr>
          <w:p w14:paraId="299A49F9">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1D04E47E">
            <w:pPr>
              <w:adjustRightInd w:val="0"/>
              <w:snapToGrid w:val="0"/>
              <w:jc w:val="center"/>
              <w:rPr>
                <w:rFonts w:ascii="Times New Roman" w:hAnsi="Times New Roman" w:cs="宋体"/>
                <w:kern w:val="0"/>
                <w:szCs w:val="21"/>
              </w:rPr>
            </w:pPr>
            <w:r>
              <w:rPr>
                <w:rFonts w:ascii="Times New Roman" w:hAnsi="Times New Roman" w:cs="宋体"/>
                <w:kern w:val="0"/>
                <w:szCs w:val="21"/>
              </w:rPr>
              <w:t>5.1</w:t>
            </w:r>
          </w:p>
        </w:tc>
        <w:tc>
          <w:tcPr>
            <w:tcW w:w="586" w:type="pct"/>
            <w:noWrap/>
            <w:vAlign w:val="center"/>
          </w:tcPr>
          <w:p w14:paraId="24C6FFE1">
            <w:pPr>
              <w:adjustRightInd w:val="0"/>
              <w:snapToGrid w:val="0"/>
              <w:jc w:val="center"/>
              <w:rPr>
                <w:rFonts w:ascii="Times New Roman" w:hAnsi="Times New Roman" w:cs="宋体"/>
                <w:kern w:val="0"/>
                <w:szCs w:val="21"/>
              </w:rPr>
            </w:pPr>
            <w:r>
              <w:rPr>
                <w:rFonts w:ascii="Times New Roman" w:hAnsi="Times New Roman" w:cs="宋体"/>
                <w:kern w:val="0"/>
                <w:szCs w:val="21"/>
              </w:rPr>
              <w:t>5</w:t>
            </w:r>
          </w:p>
        </w:tc>
        <w:tc>
          <w:tcPr>
            <w:tcW w:w="494" w:type="pct"/>
            <w:noWrap/>
            <w:vAlign w:val="center"/>
          </w:tcPr>
          <w:p w14:paraId="647E8A9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7DAAE0E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6AD11A4">
            <w:pPr>
              <w:adjustRightInd w:val="0"/>
              <w:snapToGrid w:val="0"/>
              <w:rPr>
                <w:rFonts w:ascii="Times New Roman" w:hAnsi="Times New Roman" w:cs="宋体"/>
                <w:kern w:val="0"/>
                <w:szCs w:val="21"/>
              </w:rPr>
            </w:pPr>
          </w:p>
        </w:tc>
        <w:tc>
          <w:tcPr>
            <w:tcW w:w="327" w:type="pct"/>
            <w:vAlign w:val="center"/>
          </w:tcPr>
          <w:p w14:paraId="517BD239">
            <w:pPr>
              <w:adjustRightInd w:val="0"/>
              <w:snapToGrid w:val="0"/>
              <w:jc w:val="center"/>
              <w:rPr>
                <w:rFonts w:ascii="Times New Roman" w:hAnsi="Times New Roman" w:cs="宋体"/>
                <w:kern w:val="0"/>
                <w:szCs w:val="21"/>
              </w:rPr>
            </w:pPr>
            <w:r>
              <w:rPr>
                <w:rFonts w:ascii="Times New Roman" w:hAnsi="Times New Roman" w:cs="宋体"/>
                <w:kern w:val="0"/>
                <w:szCs w:val="21"/>
              </w:rPr>
              <w:t>14</w:t>
            </w:r>
          </w:p>
        </w:tc>
        <w:tc>
          <w:tcPr>
            <w:tcW w:w="2309" w:type="pct"/>
            <w:vAlign w:val="center"/>
          </w:tcPr>
          <w:p w14:paraId="55E04DF2">
            <w:pPr>
              <w:adjustRightInd w:val="0"/>
              <w:snapToGrid w:val="0"/>
              <w:rPr>
                <w:rFonts w:ascii="Times New Roman" w:hAnsi="Times New Roman" w:cs="宋体"/>
                <w:kern w:val="0"/>
                <w:szCs w:val="21"/>
              </w:rPr>
            </w:pPr>
            <w:r>
              <w:rPr>
                <w:rFonts w:hint="eastAsia" w:ascii="Times New Roman" w:hAnsi="Times New Roman" w:cs="宋体"/>
                <w:kern w:val="0"/>
                <w:szCs w:val="21"/>
              </w:rPr>
              <w:t>常住人口城镇化率（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32B0A1C">
            <w:pPr>
              <w:adjustRightInd w:val="0"/>
              <w:snapToGrid w:val="0"/>
              <w:jc w:val="center"/>
              <w:rPr>
                <w:rFonts w:ascii="Times New Roman" w:hAnsi="Times New Roman" w:cs="宋体"/>
                <w:kern w:val="0"/>
                <w:szCs w:val="21"/>
              </w:rPr>
            </w:pPr>
            <w:r>
              <w:rPr>
                <w:rFonts w:ascii="Times New Roman" w:hAnsi="Times New Roman" w:cs="宋体"/>
                <w:kern w:val="0"/>
                <w:szCs w:val="21"/>
              </w:rPr>
              <w:t>88.43</w:t>
            </w:r>
          </w:p>
        </w:tc>
        <w:tc>
          <w:tcPr>
            <w:tcW w:w="480" w:type="pct"/>
            <w:noWrap/>
            <w:vAlign w:val="center"/>
          </w:tcPr>
          <w:p w14:paraId="11FCF5A5">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586" w:type="pct"/>
            <w:noWrap/>
            <w:vAlign w:val="center"/>
          </w:tcPr>
          <w:p w14:paraId="121D7DED">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5DA94C3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2B29C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3430FB1">
            <w:pPr>
              <w:adjustRightInd w:val="0"/>
              <w:snapToGrid w:val="0"/>
              <w:rPr>
                <w:rFonts w:ascii="Times New Roman" w:hAnsi="Times New Roman" w:cs="宋体"/>
                <w:kern w:val="0"/>
                <w:szCs w:val="21"/>
              </w:rPr>
            </w:pPr>
          </w:p>
        </w:tc>
        <w:tc>
          <w:tcPr>
            <w:tcW w:w="327" w:type="pct"/>
            <w:vAlign w:val="center"/>
          </w:tcPr>
          <w:p w14:paraId="4E763445">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2309" w:type="pct"/>
            <w:vAlign w:val="center"/>
          </w:tcPr>
          <w:p w14:paraId="2C74B845">
            <w:pPr>
              <w:adjustRightInd w:val="0"/>
              <w:snapToGrid w:val="0"/>
              <w:rPr>
                <w:rFonts w:ascii="Times New Roman" w:hAnsi="Times New Roman" w:cs="宋体"/>
                <w:kern w:val="0"/>
                <w:szCs w:val="21"/>
              </w:rPr>
            </w:pPr>
            <w:r>
              <w:rPr>
                <w:rFonts w:hint="eastAsia" w:ascii="Times New Roman" w:hAnsi="Times New Roman" w:cs="宋体"/>
                <w:kern w:val="0"/>
                <w:szCs w:val="21"/>
              </w:rPr>
              <w:t>全区单位</w:t>
            </w:r>
            <w:r>
              <w:rPr>
                <w:rFonts w:ascii="Times New Roman" w:hAnsi="Times New Roman" w:cs="宋体"/>
                <w:kern w:val="0"/>
                <w:szCs w:val="21"/>
              </w:rPr>
              <w:t>GDP</w:t>
            </w:r>
            <w:r>
              <w:rPr>
                <w:rFonts w:hint="eastAsia" w:ascii="Times New Roman" w:hAnsi="Times New Roman" w:cs="宋体"/>
                <w:kern w:val="0"/>
                <w:szCs w:val="21"/>
              </w:rPr>
              <w:t>建设用地面积降低（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62B43A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480" w:type="pct"/>
            <w:noWrap/>
            <w:vAlign w:val="center"/>
          </w:tcPr>
          <w:p w14:paraId="0EB4C38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p>
        </w:tc>
        <w:tc>
          <w:tcPr>
            <w:tcW w:w="586" w:type="pct"/>
            <w:noWrap/>
            <w:vAlign w:val="center"/>
          </w:tcPr>
          <w:p w14:paraId="72596911">
            <w:pPr>
              <w:adjustRightInd w:val="0"/>
              <w:snapToGrid w:val="0"/>
              <w:jc w:val="center"/>
              <w:rPr>
                <w:rFonts w:ascii="Times New Roman" w:hAnsi="Times New Roman" w:cs="宋体"/>
                <w:kern w:val="0"/>
                <w:szCs w:val="21"/>
              </w:rPr>
            </w:pPr>
            <w:r>
              <w:rPr>
                <w:rFonts w:ascii="Times New Roman" w:hAnsi="Times New Roman" w:cs="宋体"/>
                <w:kern w:val="0"/>
                <w:szCs w:val="21"/>
              </w:rPr>
              <w:t>[10]</w:t>
            </w:r>
            <w:r>
              <w:rPr>
                <w:rFonts w:hint="eastAsia" w:ascii="Times New Roman" w:hAnsi="Times New Roman" w:cs="宋体"/>
                <w:kern w:val="0"/>
                <w:szCs w:val="21"/>
              </w:rPr>
              <w:t>*</w:t>
            </w:r>
          </w:p>
        </w:tc>
        <w:tc>
          <w:tcPr>
            <w:tcW w:w="494" w:type="pct"/>
            <w:noWrap/>
            <w:vAlign w:val="center"/>
          </w:tcPr>
          <w:p w14:paraId="1405B62C">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807932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0F10862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开放发展</w:t>
            </w:r>
          </w:p>
        </w:tc>
        <w:tc>
          <w:tcPr>
            <w:tcW w:w="327" w:type="pct"/>
            <w:vAlign w:val="center"/>
          </w:tcPr>
          <w:p w14:paraId="3382C71B">
            <w:pPr>
              <w:adjustRightInd w:val="0"/>
              <w:snapToGrid w:val="0"/>
              <w:jc w:val="center"/>
              <w:rPr>
                <w:rFonts w:ascii="Times New Roman" w:hAnsi="Times New Roman" w:cs="宋体"/>
                <w:kern w:val="0"/>
                <w:szCs w:val="21"/>
              </w:rPr>
            </w:pPr>
            <w:r>
              <w:rPr>
                <w:rFonts w:ascii="Times New Roman" w:hAnsi="Times New Roman" w:cs="宋体"/>
                <w:kern w:val="0"/>
                <w:szCs w:val="21"/>
              </w:rPr>
              <w:t>16</w:t>
            </w:r>
          </w:p>
        </w:tc>
        <w:tc>
          <w:tcPr>
            <w:tcW w:w="2309" w:type="pct"/>
            <w:vAlign w:val="center"/>
          </w:tcPr>
          <w:p w14:paraId="0CF2B048">
            <w:pPr>
              <w:adjustRightInd w:val="0"/>
              <w:snapToGrid w:val="0"/>
              <w:rPr>
                <w:rFonts w:ascii="Times New Roman" w:hAnsi="Times New Roman" w:cs="宋体"/>
                <w:kern w:val="0"/>
                <w:szCs w:val="21"/>
              </w:rPr>
            </w:pPr>
            <w:r>
              <w:rPr>
                <w:rFonts w:hint="eastAsia" w:ascii="Times New Roman" w:hAnsi="Times New Roman" w:cs="宋体"/>
                <w:kern w:val="0"/>
                <w:szCs w:val="21"/>
              </w:rPr>
              <w:t>非公经济增加值占</w:t>
            </w:r>
            <w:r>
              <w:rPr>
                <w:rFonts w:ascii="Times New Roman" w:hAnsi="Times New Roman" w:cs="宋体"/>
                <w:kern w:val="0"/>
                <w:szCs w:val="21"/>
              </w:rPr>
              <w:t>GDP</w:t>
            </w:r>
            <w:r>
              <w:rPr>
                <w:rFonts w:hint="eastAsia" w:ascii="Times New Roman" w:hAnsi="Times New Roman" w:cs="宋体"/>
                <w:kern w:val="0"/>
                <w:szCs w:val="21"/>
              </w:rPr>
              <w:t>比重（</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5B79A91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46.2</w:t>
            </w:r>
          </w:p>
        </w:tc>
        <w:tc>
          <w:tcPr>
            <w:tcW w:w="480" w:type="pct"/>
            <w:noWrap/>
            <w:vAlign w:val="center"/>
          </w:tcPr>
          <w:p w14:paraId="2075DD5A">
            <w:pPr>
              <w:adjustRightInd w:val="0"/>
              <w:snapToGrid w:val="0"/>
              <w:jc w:val="center"/>
              <w:rPr>
                <w:rFonts w:ascii="Times New Roman" w:hAnsi="Times New Roman" w:cs="宋体"/>
                <w:kern w:val="0"/>
                <w:szCs w:val="21"/>
              </w:rPr>
            </w:pPr>
            <w:r>
              <w:rPr>
                <w:rFonts w:ascii="Times New Roman" w:hAnsi="Times New Roman" w:cs="宋体"/>
                <w:kern w:val="0"/>
                <w:szCs w:val="21"/>
              </w:rPr>
              <w:t>50</w:t>
            </w:r>
          </w:p>
        </w:tc>
        <w:tc>
          <w:tcPr>
            <w:tcW w:w="586" w:type="pct"/>
            <w:noWrap/>
            <w:vAlign w:val="center"/>
          </w:tcPr>
          <w:p w14:paraId="40C7BA39">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545E281">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1E0E8C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77B33F4B">
            <w:pPr>
              <w:adjustRightInd w:val="0"/>
              <w:snapToGrid w:val="0"/>
              <w:rPr>
                <w:rFonts w:ascii="Times New Roman" w:hAnsi="Times New Roman" w:cs="宋体"/>
                <w:kern w:val="0"/>
                <w:szCs w:val="21"/>
              </w:rPr>
            </w:pPr>
          </w:p>
        </w:tc>
        <w:tc>
          <w:tcPr>
            <w:tcW w:w="327" w:type="pct"/>
            <w:vAlign w:val="center"/>
          </w:tcPr>
          <w:p w14:paraId="077BAD87">
            <w:pPr>
              <w:adjustRightInd w:val="0"/>
              <w:snapToGrid w:val="0"/>
              <w:jc w:val="center"/>
              <w:rPr>
                <w:rFonts w:ascii="Times New Roman" w:hAnsi="Times New Roman" w:cs="宋体"/>
                <w:kern w:val="0"/>
                <w:szCs w:val="21"/>
              </w:rPr>
            </w:pPr>
            <w:r>
              <w:rPr>
                <w:rFonts w:ascii="Times New Roman" w:hAnsi="Times New Roman" w:cs="宋体"/>
                <w:kern w:val="0"/>
                <w:szCs w:val="21"/>
              </w:rPr>
              <w:t>17</w:t>
            </w:r>
          </w:p>
        </w:tc>
        <w:tc>
          <w:tcPr>
            <w:tcW w:w="2309" w:type="pct"/>
            <w:vAlign w:val="center"/>
          </w:tcPr>
          <w:p w14:paraId="4D97E2E3">
            <w:pPr>
              <w:adjustRightInd w:val="0"/>
              <w:snapToGrid w:val="0"/>
              <w:rPr>
                <w:rFonts w:ascii="Times New Roman" w:hAnsi="Times New Roman" w:cs="宋体"/>
                <w:kern w:val="0"/>
                <w:szCs w:val="21"/>
              </w:rPr>
            </w:pPr>
            <w:r>
              <w:rPr>
                <w:rFonts w:hint="eastAsia" w:ascii="Times New Roman" w:hAnsi="Times New Roman" w:cs="宋体"/>
                <w:kern w:val="0"/>
                <w:szCs w:val="21"/>
              </w:rPr>
              <w:t>实际利用外资增长率（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2FFDFE5">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0587E358">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5D07DA9">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494" w:type="pct"/>
            <w:noWrap/>
            <w:vAlign w:val="center"/>
          </w:tcPr>
          <w:p w14:paraId="5348E15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50B51C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D9E0467">
            <w:pPr>
              <w:adjustRightInd w:val="0"/>
              <w:snapToGrid w:val="0"/>
              <w:rPr>
                <w:rFonts w:ascii="Times New Roman" w:hAnsi="Times New Roman" w:cs="宋体"/>
                <w:kern w:val="0"/>
                <w:szCs w:val="21"/>
              </w:rPr>
            </w:pPr>
          </w:p>
        </w:tc>
        <w:tc>
          <w:tcPr>
            <w:tcW w:w="327" w:type="pct"/>
            <w:vAlign w:val="center"/>
          </w:tcPr>
          <w:p w14:paraId="3ED0CCA9">
            <w:pPr>
              <w:adjustRightInd w:val="0"/>
              <w:snapToGrid w:val="0"/>
              <w:jc w:val="center"/>
              <w:rPr>
                <w:rFonts w:ascii="Times New Roman" w:hAnsi="Times New Roman" w:cs="宋体"/>
                <w:kern w:val="0"/>
                <w:szCs w:val="21"/>
              </w:rPr>
            </w:pPr>
            <w:r>
              <w:rPr>
                <w:rFonts w:ascii="Times New Roman" w:hAnsi="Times New Roman" w:cs="宋体"/>
                <w:kern w:val="0"/>
                <w:szCs w:val="21"/>
              </w:rPr>
              <w:t>18</w:t>
            </w:r>
          </w:p>
        </w:tc>
        <w:tc>
          <w:tcPr>
            <w:tcW w:w="2309" w:type="pct"/>
            <w:vAlign w:val="center"/>
          </w:tcPr>
          <w:p w14:paraId="299CF16E">
            <w:pPr>
              <w:adjustRightInd w:val="0"/>
              <w:snapToGrid w:val="0"/>
              <w:rPr>
                <w:rFonts w:ascii="Times New Roman" w:hAnsi="Times New Roman" w:cs="宋体"/>
                <w:kern w:val="0"/>
                <w:szCs w:val="21"/>
              </w:rPr>
            </w:pPr>
            <w:r>
              <w:rPr>
                <w:rFonts w:hint="eastAsia" w:ascii="Times New Roman" w:hAnsi="Times New Roman" w:cs="宋体"/>
                <w:kern w:val="0"/>
                <w:szCs w:val="21"/>
              </w:rPr>
              <w:t>进出口贸易总额增速（</w:t>
            </w:r>
            <w:r>
              <w:rPr>
                <w:rFonts w:ascii="Times New Roman" w:hAnsi="Times New Roman" w:cs="宋体"/>
                <w:kern w:val="0"/>
                <w:szCs w:val="21"/>
              </w:rPr>
              <w:t xml:space="preserve"> %</w:t>
            </w:r>
            <w:r>
              <w:rPr>
                <w:rFonts w:hint="eastAsia" w:ascii="Times New Roman" w:hAnsi="Times New Roman" w:cs="宋体"/>
                <w:kern w:val="0"/>
                <w:szCs w:val="21"/>
              </w:rPr>
              <w:t>）</w:t>
            </w:r>
          </w:p>
        </w:tc>
        <w:tc>
          <w:tcPr>
            <w:tcW w:w="481" w:type="pct"/>
            <w:noWrap/>
            <w:vAlign w:val="center"/>
          </w:tcPr>
          <w:p w14:paraId="1F3DEA1A">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723E7371">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36050C6E">
            <w:pPr>
              <w:adjustRightInd w:val="0"/>
              <w:snapToGrid w:val="0"/>
              <w:jc w:val="center"/>
              <w:rPr>
                <w:rFonts w:ascii="Times New Roman" w:hAnsi="Times New Roman" w:cs="宋体"/>
                <w:kern w:val="0"/>
                <w:szCs w:val="21"/>
              </w:rPr>
            </w:pPr>
            <w:r>
              <w:rPr>
                <w:rFonts w:ascii="Times New Roman" w:hAnsi="Times New Roman" w:cs="宋体"/>
                <w:kern w:val="0"/>
                <w:szCs w:val="21"/>
              </w:rPr>
              <w:t>7</w:t>
            </w:r>
          </w:p>
        </w:tc>
        <w:tc>
          <w:tcPr>
            <w:tcW w:w="494" w:type="pct"/>
            <w:noWrap/>
            <w:vAlign w:val="center"/>
          </w:tcPr>
          <w:p w14:paraId="44A3E5C6">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FF1118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736A4FB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生态环境</w:t>
            </w:r>
          </w:p>
        </w:tc>
        <w:tc>
          <w:tcPr>
            <w:tcW w:w="327" w:type="pct"/>
            <w:vAlign w:val="center"/>
          </w:tcPr>
          <w:p w14:paraId="7238BFA7">
            <w:pPr>
              <w:adjustRightInd w:val="0"/>
              <w:snapToGrid w:val="0"/>
              <w:jc w:val="center"/>
              <w:rPr>
                <w:rFonts w:ascii="Times New Roman" w:hAnsi="Times New Roman" w:cs="宋体"/>
                <w:kern w:val="0"/>
                <w:szCs w:val="21"/>
              </w:rPr>
            </w:pPr>
            <w:r>
              <w:rPr>
                <w:rFonts w:ascii="Times New Roman" w:hAnsi="Times New Roman" w:cs="宋体"/>
                <w:kern w:val="0"/>
                <w:szCs w:val="21"/>
              </w:rPr>
              <w:t>19</w:t>
            </w:r>
          </w:p>
        </w:tc>
        <w:tc>
          <w:tcPr>
            <w:tcW w:w="2309" w:type="pct"/>
            <w:vAlign w:val="center"/>
          </w:tcPr>
          <w:p w14:paraId="0967728A">
            <w:pPr>
              <w:adjustRightInd w:val="0"/>
              <w:snapToGrid w:val="0"/>
              <w:rPr>
                <w:rFonts w:ascii="Times New Roman" w:hAnsi="Times New Roman" w:cs="宋体"/>
                <w:kern w:val="0"/>
                <w:szCs w:val="21"/>
              </w:rPr>
            </w:pPr>
            <w:r>
              <w:rPr>
                <w:rFonts w:hint="eastAsia" w:ascii="Times New Roman" w:hAnsi="Times New Roman" w:cs="宋体"/>
                <w:kern w:val="0"/>
                <w:szCs w:val="21"/>
              </w:rPr>
              <w:t>单位生产总值能耗降低（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610BBFBE">
            <w:pPr>
              <w:adjustRightInd w:val="0"/>
              <w:snapToGrid w:val="0"/>
              <w:jc w:val="center"/>
              <w:rPr>
                <w:rFonts w:ascii="Times New Roman" w:hAnsi="Times New Roman" w:cs="宋体"/>
                <w:kern w:val="0"/>
                <w:szCs w:val="21"/>
              </w:rPr>
            </w:pPr>
            <w:r>
              <w:rPr>
                <w:rFonts w:ascii="Times New Roman" w:hAnsi="Times New Roman" w:cs="宋体"/>
                <w:kern w:val="0"/>
                <w:szCs w:val="21"/>
              </w:rPr>
              <w:t>2.95</w:t>
            </w:r>
          </w:p>
        </w:tc>
        <w:tc>
          <w:tcPr>
            <w:tcW w:w="480" w:type="pct"/>
            <w:noWrap/>
            <w:vAlign w:val="center"/>
          </w:tcPr>
          <w:p w14:paraId="2BDCD620">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2E199CED">
            <w:pPr>
              <w:adjustRightInd w:val="0"/>
              <w:snapToGrid w:val="0"/>
              <w:jc w:val="center"/>
              <w:rPr>
                <w:rFonts w:ascii="Times New Roman" w:hAnsi="Times New Roman" w:cs="宋体"/>
                <w:kern w:val="0"/>
                <w:szCs w:val="21"/>
              </w:rPr>
            </w:pPr>
            <w:r>
              <w:rPr>
                <w:rFonts w:ascii="Times New Roman" w:hAnsi="Times New Roman" w:cs="宋体"/>
                <w:kern w:val="0"/>
                <w:szCs w:val="21"/>
              </w:rPr>
              <w:t>[12]</w:t>
            </w:r>
            <w:r>
              <w:rPr>
                <w:rFonts w:hint="eastAsia" w:ascii="Times New Roman" w:hAnsi="Times New Roman" w:cs="宋体"/>
                <w:kern w:val="0"/>
                <w:szCs w:val="21"/>
              </w:rPr>
              <w:t>*</w:t>
            </w:r>
          </w:p>
        </w:tc>
        <w:tc>
          <w:tcPr>
            <w:tcW w:w="494" w:type="pct"/>
            <w:noWrap/>
            <w:vAlign w:val="center"/>
          </w:tcPr>
          <w:p w14:paraId="25DCCA7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5B140D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ACC0C1B">
            <w:pPr>
              <w:adjustRightInd w:val="0"/>
              <w:snapToGrid w:val="0"/>
              <w:rPr>
                <w:rFonts w:ascii="Times New Roman" w:hAnsi="Times New Roman" w:cs="宋体"/>
                <w:kern w:val="0"/>
                <w:szCs w:val="21"/>
              </w:rPr>
            </w:pPr>
          </w:p>
        </w:tc>
        <w:tc>
          <w:tcPr>
            <w:tcW w:w="327" w:type="pct"/>
            <w:vAlign w:val="center"/>
          </w:tcPr>
          <w:p w14:paraId="0B28D1B1">
            <w:pPr>
              <w:adjustRightInd w:val="0"/>
              <w:snapToGrid w:val="0"/>
              <w:jc w:val="center"/>
              <w:rPr>
                <w:rFonts w:ascii="Times New Roman" w:hAnsi="Times New Roman" w:cs="宋体"/>
                <w:kern w:val="0"/>
                <w:szCs w:val="21"/>
              </w:rPr>
            </w:pPr>
            <w:r>
              <w:rPr>
                <w:rFonts w:ascii="Times New Roman" w:hAnsi="Times New Roman" w:cs="宋体"/>
                <w:kern w:val="0"/>
                <w:szCs w:val="21"/>
              </w:rPr>
              <w:t>20</w:t>
            </w:r>
          </w:p>
        </w:tc>
        <w:tc>
          <w:tcPr>
            <w:tcW w:w="2309" w:type="pct"/>
            <w:vAlign w:val="center"/>
          </w:tcPr>
          <w:p w14:paraId="4EE00500">
            <w:pPr>
              <w:adjustRightInd w:val="0"/>
              <w:snapToGrid w:val="0"/>
              <w:rPr>
                <w:rFonts w:ascii="Times New Roman" w:hAnsi="Times New Roman" w:cs="宋体"/>
                <w:kern w:val="0"/>
                <w:szCs w:val="21"/>
              </w:rPr>
            </w:pPr>
            <w:r>
              <w:rPr>
                <w:rFonts w:hint="eastAsia" w:ascii="Times New Roman" w:hAnsi="Times New Roman" w:cs="宋体"/>
                <w:kern w:val="0"/>
                <w:szCs w:val="21"/>
              </w:rPr>
              <w:t>单位</w:t>
            </w:r>
            <w:r>
              <w:rPr>
                <w:rFonts w:ascii="Times New Roman" w:hAnsi="Times New Roman" w:cs="宋体"/>
                <w:kern w:val="0"/>
                <w:szCs w:val="21"/>
              </w:rPr>
              <w:t>GDP</w:t>
            </w:r>
            <w:r>
              <w:rPr>
                <w:rFonts w:hint="eastAsia" w:ascii="Times New Roman" w:hAnsi="Times New Roman" w:cs="宋体"/>
                <w:kern w:val="0"/>
                <w:szCs w:val="21"/>
              </w:rPr>
              <w:t>二氧化碳排放降低（</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388B6C52">
            <w:pPr>
              <w:adjustRightInd w:val="0"/>
              <w:snapToGrid w:val="0"/>
              <w:jc w:val="center"/>
              <w:rPr>
                <w:rFonts w:ascii="Times New Roman" w:hAnsi="Times New Roman" w:cs="宋体"/>
                <w:kern w:val="0"/>
                <w:szCs w:val="21"/>
              </w:rPr>
            </w:pPr>
            <w:r>
              <w:rPr>
                <w:rFonts w:ascii="Times New Roman" w:hAnsi="Times New Roman" w:cs="宋体"/>
                <w:kern w:val="0"/>
                <w:szCs w:val="21"/>
              </w:rPr>
              <w:t>3.8</w:t>
            </w:r>
          </w:p>
        </w:tc>
        <w:tc>
          <w:tcPr>
            <w:tcW w:w="480" w:type="pct"/>
            <w:noWrap/>
            <w:vAlign w:val="center"/>
          </w:tcPr>
          <w:p w14:paraId="22E3582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754432AD">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029D005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12AE91A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27C053C9">
            <w:pPr>
              <w:adjustRightInd w:val="0"/>
              <w:snapToGrid w:val="0"/>
              <w:rPr>
                <w:rFonts w:ascii="Times New Roman" w:hAnsi="Times New Roman" w:cs="宋体"/>
                <w:kern w:val="0"/>
                <w:szCs w:val="21"/>
              </w:rPr>
            </w:pPr>
          </w:p>
        </w:tc>
        <w:tc>
          <w:tcPr>
            <w:tcW w:w="327" w:type="pct"/>
            <w:vAlign w:val="center"/>
          </w:tcPr>
          <w:p w14:paraId="79907CA8">
            <w:pPr>
              <w:adjustRightInd w:val="0"/>
              <w:snapToGrid w:val="0"/>
              <w:jc w:val="center"/>
              <w:rPr>
                <w:rFonts w:ascii="Times New Roman" w:hAnsi="Times New Roman" w:cs="宋体"/>
                <w:kern w:val="0"/>
                <w:szCs w:val="21"/>
              </w:rPr>
            </w:pPr>
            <w:r>
              <w:rPr>
                <w:rFonts w:ascii="Times New Roman" w:hAnsi="Times New Roman" w:cs="宋体"/>
                <w:kern w:val="0"/>
                <w:szCs w:val="21"/>
              </w:rPr>
              <w:t>21</w:t>
            </w:r>
          </w:p>
        </w:tc>
        <w:tc>
          <w:tcPr>
            <w:tcW w:w="2309" w:type="pct"/>
            <w:vAlign w:val="center"/>
          </w:tcPr>
          <w:p w14:paraId="11F74E36">
            <w:pPr>
              <w:adjustRightInd w:val="0"/>
              <w:snapToGrid w:val="0"/>
              <w:rPr>
                <w:rFonts w:ascii="Times New Roman" w:hAnsi="Times New Roman" w:cs="宋体"/>
                <w:kern w:val="0"/>
                <w:szCs w:val="21"/>
              </w:rPr>
            </w:pPr>
            <w:r>
              <w:rPr>
                <w:rFonts w:hint="eastAsia" w:ascii="Times New Roman" w:hAnsi="Times New Roman" w:cs="宋体"/>
                <w:kern w:val="0"/>
                <w:szCs w:val="21"/>
              </w:rPr>
              <w:t>细颗粒物</w:t>
            </w:r>
            <w:r>
              <w:rPr>
                <w:rFonts w:ascii="Times New Roman" w:hAnsi="Times New Roman" w:cs="宋体"/>
                <w:kern w:val="0"/>
                <w:szCs w:val="21"/>
              </w:rPr>
              <w:t>(PM2.5)</w:t>
            </w:r>
            <w:r>
              <w:rPr>
                <w:rFonts w:hint="eastAsia" w:ascii="Times New Roman" w:hAnsi="Times New Roman" w:cs="宋体"/>
                <w:kern w:val="0"/>
                <w:szCs w:val="21"/>
              </w:rPr>
              <w:t>浓度降幅（</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12E1173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80" w:type="pct"/>
            <w:noWrap/>
            <w:vAlign w:val="center"/>
          </w:tcPr>
          <w:p w14:paraId="37958CB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186DA18B">
            <w:pPr>
              <w:adjustRightInd w:val="0"/>
              <w:snapToGrid w:val="0"/>
              <w:jc w:val="center"/>
              <w:rPr>
                <w:rFonts w:ascii="Times New Roman" w:hAnsi="Times New Roman" w:cs="宋体"/>
                <w:kern w:val="0"/>
                <w:szCs w:val="21"/>
              </w:rPr>
            </w:pPr>
            <w:r>
              <w:rPr>
                <w:rFonts w:ascii="Times New Roman" w:hAnsi="Times New Roman" w:cs="宋体"/>
                <w:kern w:val="0"/>
                <w:szCs w:val="21"/>
              </w:rPr>
              <w:t>[15]</w:t>
            </w:r>
            <w:r>
              <w:rPr>
                <w:rFonts w:hint="eastAsia" w:ascii="Times New Roman" w:hAnsi="Times New Roman" w:cs="宋体"/>
                <w:kern w:val="0"/>
                <w:szCs w:val="21"/>
              </w:rPr>
              <w:t>*</w:t>
            </w:r>
          </w:p>
        </w:tc>
        <w:tc>
          <w:tcPr>
            <w:tcW w:w="494" w:type="pct"/>
            <w:noWrap/>
            <w:vAlign w:val="center"/>
          </w:tcPr>
          <w:p w14:paraId="7FAE5FD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6461A9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04E93BE8">
            <w:pPr>
              <w:adjustRightInd w:val="0"/>
              <w:snapToGrid w:val="0"/>
              <w:rPr>
                <w:rFonts w:ascii="Times New Roman" w:hAnsi="Times New Roman" w:cs="宋体"/>
                <w:kern w:val="0"/>
                <w:szCs w:val="21"/>
              </w:rPr>
            </w:pPr>
          </w:p>
        </w:tc>
        <w:tc>
          <w:tcPr>
            <w:tcW w:w="327" w:type="pct"/>
            <w:vAlign w:val="center"/>
          </w:tcPr>
          <w:p w14:paraId="68FD1EDA">
            <w:pPr>
              <w:adjustRightInd w:val="0"/>
              <w:snapToGrid w:val="0"/>
              <w:jc w:val="center"/>
              <w:rPr>
                <w:rFonts w:ascii="Times New Roman" w:hAnsi="Times New Roman" w:cs="宋体"/>
                <w:kern w:val="0"/>
                <w:szCs w:val="21"/>
              </w:rPr>
            </w:pPr>
            <w:r>
              <w:rPr>
                <w:rFonts w:ascii="Times New Roman" w:hAnsi="Times New Roman" w:cs="宋体"/>
                <w:kern w:val="0"/>
                <w:szCs w:val="21"/>
              </w:rPr>
              <w:t>22</w:t>
            </w:r>
          </w:p>
        </w:tc>
        <w:tc>
          <w:tcPr>
            <w:tcW w:w="2309" w:type="pct"/>
            <w:vAlign w:val="center"/>
          </w:tcPr>
          <w:p w14:paraId="6B2CBEAF">
            <w:pPr>
              <w:adjustRightInd w:val="0"/>
              <w:snapToGrid w:val="0"/>
              <w:rPr>
                <w:rFonts w:ascii="Times New Roman" w:hAnsi="Times New Roman" w:cs="宋体"/>
                <w:kern w:val="0"/>
                <w:szCs w:val="21"/>
              </w:rPr>
            </w:pPr>
            <w:r>
              <w:rPr>
                <w:rFonts w:hint="eastAsia" w:ascii="Times New Roman" w:hAnsi="Times New Roman" w:cs="宋体"/>
                <w:kern w:val="0"/>
                <w:szCs w:val="21"/>
              </w:rPr>
              <w:t>Ш类水体占地表比例（</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0E10C43E">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45E2B815">
            <w:pPr>
              <w:adjustRightInd w:val="0"/>
              <w:snapToGrid w:val="0"/>
              <w:jc w:val="center"/>
              <w:rPr>
                <w:rFonts w:ascii="Times New Roman" w:hAnsi="Times New Roman" w:cs="宋体"/>
                <w:kern w:val="0"/>
                <w:szCs w:val="21"/>
              </w:rPr>
            </w:pPr>
            <w:r>
              <w:rPr>
                <w:rFonts w:hint="eastAsia" w:ascii="Times New Roman" w:hAnsi="Times New Roman" w:cs="宋体"/>
                <w:kern w:val="0"/>
                <w:szCs w:val="21"/>
              </w:rPr>
              <w:t>＞</w:t>
            </w:r>
            <w:r>
              <w:rPr>
                <w:rFonts w:ascii="Times New Roman" w:hAnsi="Times New Roman" w:cs="宋体"/>
                <w:kern w:val="0"/>
                <w:szCs w:val="21"/>
              </w:rPr>
              <w:t>90</w:t>
            </w:r>
          </w:p>
        </w:tc>
        <w:tc>
          <w:tcPr>
            <w:tcW w:w="586" w:type="pct"/>
            <w:noWrap/>
            <w:vAlign w:val="center"/>
          </w:tcPr>
          <w:p w14:paraId="29700DE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49D71A80">
            <w:pPr>
              <w:adjustRightInd w:val="0"/>
              <w:snapToGrid w:val="0"/>
              <w:jc w:val="center"/>
              <w:rPr>
                <w:rFonts w:ascii="Times New Roman" w:hAnsi="Times New Roman" w:cs="宋体"/>
                <w:kern w:val="0"/>
                <w:szCs w:val="21"/>
              </w:rPr>
            </w:pPr>
            <w:r>
              <w:rPr>
                <w:rFonts w:hint="eastAsia" w:ascii="Times New Roman" w:hAnsi="Times New Roman" w:cs="宋体"/>
                <w:kern w:val="0"/>
                <w:szCs w:val="21"/>
              </w:rPr>
              <w:t>约束性</w:t>
            </w:r>
          </w:p>
        </w:tc>
      </w:tr>
      <w:tr w14:paraId="21167C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4A965E7">
            <w:pPr>
              <w:adjustRightInd w:val="0"/>
              <w:snapToGrid w:val="0"/>
              <w:rPr>
                <w:rFonts w:ascii="Times New Roman" w:hAnsi="Times New Roman" w:cs="宋体"/>
                <w:kern w:val="0"/>
                <w:szCs w:val="21"/>
              </w:rPr>
            </w:pPr>
          </w:p>
        </w:tc>
        <w:tc>
          <w:tcPr>
            <w:tcW w:w="327" w:type="pct"/>
            <w:vAlign w:val="center"/>
          </w:tcPr>
          <w:p w14:paraId="4CDC9361">
            <w:pPr>
              <w:adjustRightInd w:val="0"/>
              <w:snapToGrid w:val="0"/>
              <w:jc w:val="center"/>
              <w:rPr>
                <w:rFonts w:ascii="Times New Roman" w:hAnsi="Times New Roman" w:cs="宋体"/>
                <w:kern w:val="0"/>
                <w:szCs w:val="21"/>
              </w:rPr>
            </w:pPr>
            <w:r>
              <w:rPr>
                <w:rFonts w:ascii="Times New Roman" w:hAnsi="Times New Roman" w:cs="宋体"/>
                <w:kern w:val="0"/>
                <w:szCs w:val="21"/>
              </w:rPr>
              <w:t>23</w:t>
            </w:r>
          </w:p>
        </w:tc>
        <w:tc>
          <w:tcPr>
            <w:tcW w:w="2309" w:type="pct"/>
            <w:vAlign w:val="center"/>
          </w:tcPr>
          <w:p w14:paraId="6534E592">
            <w:pPr>
              <w:adjustRightInd w:val="0"/>
              <w:snapToGrid w:val="0"/>
              <w:rPr>
                <w:rFonts w:ascii="Times New Roman" w:hAnsi="Times New Roman" w:cs="宋体"/>
                <w:kern w:val="0"/>
                <w:szCs w:val="21"/>
              </w:rPr>
            </w:pPr>
            <w:r>
              <w:rPr>
                <w:rFonts w:hint="eastAsia" w:ascii="Times New Roman" w:hAnsi="Times New Roman" w:cs="宋体"/>
                <w:kern w:val="0"/>
                <w:szCs w:val="21"/>
              </w:rPr>
              <w:t>森林覆盖率（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4EBBC8B">
            <w:pPr>
              <w:adjustRightInd w:val="0"/>
              <w:snapToGrid w:val="0"/>
              <w:jc w:val="center"/>
              <w:rPr>
                <w:rFonts w:ascii="Times New Roman" w:hAnsi="Times New Roman" w:cs="宋体"/>
                <w:kern w:val="0"/>
                <w:szCs w:val="21"/>
              </w:rPr>
            </w:pPr>
            <w:r>
              <w:rPr>
                <w:rFonts w:ascii="Times New Roman" w:hAnsi="Times New Roman" w:cs="宋体"/>
                <w:kern w:val="0"/>
                <w:szCs w:val="21"/>
              </w:rPr>
              <w:t>27.66</w:t>
            </w:r>
          </w:p>
        </w:tc>
        <w:tc>
          <w:tcPr>
            <w:tcW w:w="480" w:type="pct"/>
            <w:noWrap/>
            <w:vAlign w:val="center"/>
          </w:tcPr>
          <w:p w14:paraId="495BE596">
            <w:pPr>
              <w:adjustRightInd w:val="0"/>
              <w:snapToGrid w:val="0"/>
              <w:jc w:val="center"/>
              <w:rPr>
                <w:rFonts w:ascii="Times New Roman" w:hAnsi="Times New Roman" w:cs="宋体"/>
                <w:kern w:val="0"/>
                <w:szCs w:val="21"/>
              </w:rPr>
            </w:pPr>
            <w:r>
              <w:rPr>
                <w:rFonts w:ascii="Times New Roman" w:hAnsi="Times New Roman" w:cs="宋体"/>
                <w:kern w:val="0"/>
                <w:szCs w:val="21"/>
              </w:rPr>
              <w:t>35</w:t>
            </w:r>
          </w:p>
        </w:tc>
        <w:tc>
          <w:tcPr>
            <w:tcW w:w="586" w:type="pct"/>
            <w:noWrap/>
            <w:vAlign w:val="center"/>
          </w:tcPr>
          <w:p w14:paraId="75BF3284">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494" w:type="pct"/>
            <w:noWrap/>
            <w:vAlign w:val="center"/>
          </w:tcPr>
          <w:p w14:paraId="278AA62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06A975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restart"/>
            <w:vAlign w:val="center"/>
          </w:tcPr>
          <w:p w14:paraId="1D9F204B">
            <w:pPr>
              <w:adjustRightInd w:val="0"/>
              <w:snapToGrid w:val="0"/>
              <w:jc w:val="center"/>
              <w:rPr>
                <w:rFonts w:ascii="Times New Roman" w:hAnsi="Times New Roman" w:cs="宋体"/>
                <w:kern w:val="0"/>
                <w:szCs w:val="21"/>
              </w:rPr>
            </w:pPr>
            <w:r>
              <w:rPr>
                <w:rFonts w:hint="eastAsia" w:ascii="Times New Roman" w:hAnsi="Times New Roman" w:cs="宋体"/>
                <w:kern w:val="0"/>
                <w:szCs w:val="21"/>
              </w:rPr>
              <w:t>民生福祉</w:t>
            </w:r>
          </w:p>
        </w:tc>
        <w:tc>
          <w:tcPr>
            <w:tcW w:w="327" w:type="pct"/>
            <w:vAlign w:val="center"/>
          </w:tcPr>
          <w:p w14:paraId="06856646">
            <w:pPr>
              <w:adjustRightInd w:val="0"/>
              <w:snapToGrid w:val="0"/>
              <w:jc w:val="center"/>
              <w:rPr>
                <w:rFonts w:ascii="Times New Roman" w:hAnsi="Times New Roman" w:cs="宋体"/>
                <w:kern w:val="0"/>
                <w:szCs w:val="21"/>
              </w:rPr>
            </w:pPr>
            <w:r>
              <w:rPr>
                <w:rFonts w:ascii="Times New Roman" w:hAnsi="Times New Roman" w:cs="宋体"/>
                <w:kern w:val="0"/>
                <w:szCs w:val="21"/>
              </w:rPr>
              <w:t>24</w:t>
            </w:r>
          </w:p>
        </w:tc>
        <w:tc>
          <w:tcPr>
            <w:tcW w:w="2309" w:type="pct"/>
            <w:vAlign w:val="center"/>
          </w:tcPr>
          <w:p w14:paraId="17CEAD5A">
            <w:pPr>
              <w:adjustRightInd w:val="0"/>
              <w:snapToGrid w:val="0"/>
              <w:rPr>
                <w:rFonts w:ascii="Times New Roman" w:hAnsi="Times New Roman" w:cs="宋体"/>
                <w:kern w:val="0"/>
                <w:szCs w:val="21"/>
              </w:rPr>
            </w:pPr>
            <w:r>
              <w:rPr>
                <w:rFonts w:hint="eastAsia" w:ascii="Times New Roman" w:hAnsi="Times New Roman" w:cs="宋体"/>
                <w:kern w:val="0"/>
                <w:szCs w:val="21"/>
              </w:rPr>
              <w:t>城镇调查失业率（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4224E53D">
            <w:pPr>
              <w:adjustRightInd w:val="0"/>
              <w:snapToGrid w:val="0"/>
              <w:jc w:val="center"/>
              <w:rPr>
                <w:rFonts w:ascii="Times New Roman" w:hAnsi="Times New Roman" w:cs="宋体"/>
                <w:kern w:val="0"/>
                <w:szCs w:val="21"/>
              </w:rPr>
            </w:pPr>
            <w:r>
              <w:rPr>
                <w:rFonts w:ascii="Times New Roman" w:hAnsi="Times New Roman" w:cs="宋体"/>
                <w:kern w:val="0"/>
                <w:szCs w:val="21"/>
              </w:rPr>
              <w:t>4</w:t>
            </w:r>
          </w:p>
        </w:tc>
        <w:tc>
          <w:tcPr>
            <w:tcW w:w="480" w:type="pct"/>
            <w:noWrap/>
            <w:vAlign w:val="center"/>
          </w:tcPr>
          <w:p w14:paraId="1DE4AD14">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586" w:type="pct"/>
            <w:noWrap/>
            <w:vAlign w:val="center"/>
          </w:tcPr>
          <w:p w14:paraId="58930D1D">
            <w:pPr>
              <w:adjustRightInd w:val="0"/>
              <w:snapToGrid w:val="0"/>
              <w:jc w:val="center"/>
              <w:rPr>
                <w:rFonts w:ascii="Times New Roman" w:hAnsi="Times New Roman" w:cs="宋体"/>
                <w:kern w:val="0"/>
                <w:szCs w:val="21"/>
              </w:rPr>
            </w:pPr>
            <w:r>
              <w:rPr>
                <w:rFonts w:ascii="Times New Roman" w:hAnsi="Times New Roman" w:cs="宋体"/>
                <w:kern w:val="0"/>
                <w:szCs w:val="21"/>
              </w:rPr>
              <w:t>&lt;5</w:t>
            </w:r>
          </w:p>
        </w:tc>
        <w:tc>
          <w:tcPr>
            <w:tcW w:w="494" w:type="pct"/>
            <w:noWrap/>
            <w:vAlign w:val="center"/>
          </w:tcPr>
          <w:p w14:paraId="4437F56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D59620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775F52E">
            <w:pPr>
              <w:adjustRightInd w:val="0"/>
              <w:snapToGrid w:val="0"/>
              <w:rPr>
                <w:rFonts w:ascii="Times New Roman" w:hAnsi="Times New Roman" w:cs="宋体"/>
                <w:kern w:val="0"/>
                <w:szCs w:val="21"/>
              </w:rPr>
            </w:pPr>
          </w:p>
        </w:tc>
        <w:tc>
          <w:tcPr>
            <w:tcW w:w="327" w:type="pct"/>
            <w:vAlign w:val="center"/>
          </w:tcPr>
          <w:p w14:paraId="350A72E3">
            <w:pPr>
              <w:adjustRightInd w:val="0"/>
              <w:snapToGrid w:val="0"/>
              <w:jc w:val="center"/>
              <w:rPr>
                <w:rFonts w:ascii="Times New Roman" w:hAnsi="Times New Roman" w:cs="宋体"/>
                <w:kern w:val="0"/>
                <w:szCs w:val="21"/>
              </w:rPr>
            </w:pPr>
            <w:r>
              <w:rPr>
                <w:rFonts w:ascii="Times New Roman" w:hAnsi="Times New Roman" w:cs="宋体"/>
                <w:kern w:val="0"/>
                <w:szCs w:val="21"/>
              </w:rPr>
              <w:t>25</w:t>
            </w:r>
          </w:p>
        </w:tc>
        <w:tc>
          <w:tcPr>
            <w:tcW w:w="2309" w:type="pct"/>
            <w:vAlign w:val="center"/>
          </w:tcPr>
          <w:p w14:paraId="2195DA7A">
            <w:pPr>
              <w:adjustRightInd w:val="0"/>
              <w:snapToGrid w:val="0"/>
              <w:rPr>
                <w:rFonts w:ascii="Times New Roman" w:hAnsi="Times New Roman" w:cs="宋体"/>
                <w:kern w:val="0"/>
                <w:szCs w:val="21"/>
              </w:rPr>
            </w:pPr>
            <w:r>
              <w:rPr>
                <w:rFonts w:hint="eastAsia" w:ascii="Times New Roman" w:hAnsi="Times New Roman" w:cs="宋体"/>
                <w:kern w:val="0"/>
                <w:szCs w:val="21"/>
              </w:rPr>
              <w:t>城镇居民人均可支配收入（元）</w:t>
            </w:r>
          </w:p>
        </w:tc>
        <w:tc>
          <w:tcPr>
            <w:tcW w:w="481" w:type="pct"/>
            <w:noWrap/>
            <w:vAlign w:val="center"/>
          </w:tcPr>
          <w:p w14:paraId="4531689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37823</w:t>
            </w:r>
          </w:p>
        </w:tc>
        <w:tc>
          <w:tcPr>
            <w:tcW w:w="480" w:type="pct"/>
            <w:noWrap/>
            <w:vAlign w:val="center"/>
          </w:tcPr>
          <w:p w14:paraId="1583DF46">
            <w:pPr>
              <w:adjustRightInd w:val="0"/>
              <w:snapToGrid w:val="0"/>
              <w:jc w:val="center"/>
              <w:rPr>
                <w:rFonts w:ascii="Times New Roman" w:hAnsi="Times New Roman" w:cs="宋体"/>
                <w:kern w:val="0"/>
                <w:szCs w:val="21"/>
              </w:rPr>
            </w:pPr>
            <w:r>
              <w:rPr>
                <w:rFonts w:ascii="Times New Roman" w:hAnsi="Times New Roman" w:cs="宋体"/>
                <w:kern w:val="0"/>
                <w:szCs w:val="21"/>
              </w:rPr>
              <w:t>50000</w:t>
            </w:r>
          </w:p>
        </w:tc>
        <w:tc>
          <w:tcPr>
            <w:tcW w:w="586" w:type="pct"/>
            <w:noWrap/>
            <w:vAlign w:val="center"/>
          </w:tcPr>
          <w:p w14:paraId="4B5E6447">
            <w:pPr>
              <w:adjustRightInd w:val="0"/>
              <w:snapToGrid w:val="0"/>
              <w:jc w:val="center"/>
              <w:rPr>
                <w:rFonts w:ascii="Times New Roman" w:hAnsi="Times New Roman" w:cs="宋体"/>
                <w:kern w:val="0"/>
                <w:szCs w:val="21"/>
              </w:rPr>
            </w:pPr>
            <w:r>
              <w:rPr>
                <w:rFonts w:ascii="Times New Roman" w:hAnsi="Times New Roman" w:cs="宋体"/>
                <w:kern w:val="0"/>
                <w:szCs w:val="21"/>
              </w:rPr>
              <w:t>6</w:t>
            </w:r>
          </w:p>
        </w:tc>
        <w:tc>
          <w:tcPr>
            <w:tcW w:w="494" w:type="pct"/>
            <w:noWrap/>
            <w:vAlign w:val="center"/>
          </w:tcPr>
          <w:p w14:paraId="19128DE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45604C5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50ACBFA3">
            <w:pPr>
              <w:adjustRightInd w:val="0"/>
              <w:snapToGrid w:val="0"/>
              <w:rPr>
                <w:rFonts w:ascii="Times New Roman" w:hAnsi="Times New Roman" w:cs="宋体"/>
                <w:kern w:val="0"/>
                <w:szCs w:val="21"/>
              </w:rPr>
            </w:pPr>
          </w:p>
        </w:tc>
        <w:tc>
          <w:tcPr>
            <w:tcW w:w="327" w:type="pct"/>
            <w:vAlign w:val="center"/>
          </w:tcPr>
          <w:p w14:paraId="46D36E01">
            <w:pPr>
              <w:adjustRightInd w:val="0"/>
              <w:snapToGrid w:val="0"/>
              <w:jc w:val="center"/>
              <w:rPr>
                <w:rFonts w:ascii="Times New Roman" w:hAnsi="Times New Roman" w:cs="宋体"/>
                <w:kern w:val="0"/>
                <w:szCs w:val="21"/>
              </w:rPr>
            </w:pPr>
            <w:r>
              <w:rPr>
                <w:rFonts w:ascii="Times New Roman" w:hAnsi="Times New Roman" w:cs="宋体"/>
                <w:kern w:val="0"/>
                <w:szCs w:val="21"/>
              </w:rPr>
              <w:t>26</w:t>
            </w:r>
          </w:p>
        </w:tc>
        <w:tc>
          <w:tcPr>
            <w:tcW w:w="2309" w:type="pct"/>
            <w:vAlign w:val="center"/>
          </w:tcPr>
          <w:p w14:paraId="2758BBDE">
            <w:pPr>
              <w:adjustRightInd w:val="0"/>
              <w:snapToGrid w:val="0"/>
              <w:rPr>
                <w:rFonts w:ascii="Times New Roman" w:hAnsi="Times New Roman" w:cs="宋体"/>
                <w:kern w:val="0"/>
                <w:szCs w:val="21"/>
              </w:rPr>
            </w:pPr>
            <w:r>
              <w:rPr>
                <w:rFonts w:hint="eastAsia" w:ascii="Times New Roman" w:hAnsi="Times New Roman" w:cs="宋体"/>
                <w:kern w:val="0"/>
                <w:szCs w:val="21"/>
              </w:rPr>
              <w:t>农村居民人均可支配收入（元）</w:t>
            </w:r>
          </w:p>
        </w:tc>
        <w:tc>
          <w:tcPr>
            <w:tcW w:w="481" w:type="pct"/>
            <w:noWrap/>
            <w:vAlign w:val="center"/>
          </w:tcPr>
          <w:p w14:paraId="56C1F422">
            <w:pPr>
              <w:adjustRightInd w:val="0"/>
              <w:snapToGrid w:val="0"/>
              <w:jc w:val="center"/>
              <w:rPr>
                <w:rFonts w:ascii="Times New Roman" w:hAnsi="Times New Roman" w:cs="宋体"/>
                <w:kern w:val="0"/>
                <w:szCs w:val="21"/>
              </w:rPr>
            </w:pPr>
            <w:r>
              <w:rPr>
                <w:rFonts w:hint="eastAsia" w:ascii="Times New Roman" w:hAnsi="Times New Roman" w:cs="宋体"/>
                <w:kern w:val="0"/>
                <w:szCs w:val="21"/>
              </w:rPr>
              <w:t>15890</w:t>
            </w:r>
          </w:p>
        </w:tc>
        <w:tc>
          <w:tcPr>
            <w:tcW w:w="480" w:type="pct"/>
            <w:noWrap/>
            <w:vAlign w:val="center"/>
          </w:tcPr>
          <w:p w14:paraId="7F512259">
            <w:pPr>
              <w:adjustRightInd w:val="0"/>
              <w:snapToGrid w:val="0"/>
              <w:jc w:val="center"/>
              <w:rPr>
                <w:rFonts w:ascii="Times New Roman" w:hAnsi="Times New Roman" w:cs="宋体"/>
                <w:kern w:val="0"/>
                <w:szCs w:val="21"/>
              </w:rPr>
            </w:pPr>
            <w:r>
              <w:rPr>
                <w:rFonts w:ascii="Times New Roman" w:hAnsi="Times New Roman" w:cs="宋体"/>
                <w:kern w:val="0"/>
                <w:szCs w:val="21"/>
              </w:rPr>
              <w:t>23300</w:t>
            </w:r>
          </w:p>
        </w:tc>
        <w:tc>
          <w:tcPr>
            <w:tcW w:w="586" w:type="pct"/>
            <w:noWrap/>
            <w:vAlign w:val="center"/>
          </w:tcPr>
          <w:p w14:paraId="1D542B15">
            <w:pPr>
              <w:adjustRightInd w:val="0"/>
              <w:snapToGrid w:val="0"/>
              <w:jc w:val="center"/>
              <w:rPr>
                <w:rFonts w:ascii="Times New Roman" w:hAnsi="Times New Roman" w:cs="宋体"/>
                <w:kern w:val="0"/>
                <w:szCs w:val="21"/>
              </w:rPr>
            </w:pPr>
            <w:r>
              <w:rPr>
                <w:rFonts w:ascii="Times New Roman" w:hAnsi="Times New Roman" w:cs="宋体"/>
                <w:kern w:val="0"/>
                <w:szCs w:val="21"/>
              </w:rPr>
              <w:t>8</w:t>
            </w:r>
          </w:p>
        </w:tc>
        <w:tc>
          <w:tcPr>
            <w:tcW w:w="494" w:type="pct"/>
            <w:noWrap/>
            <w:vAlign w:val="center"/>
          </w:tcPr>
          <w:p w14:paraId="58C58BD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AEBD14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4E3F8255">
            <w:pPr>
              <w:adjustRightInd w:val="0"/>
              <w:snapToGrid w:val="0"/>
              <w:rPr>
                <w:rFonts w:ascii="Times New Roman" w:hAnsi="Times New Roman" w:cs="宋体"/>
                <w:kern w:val="0"/>
                <w:szCs w:val="21"/>
              </w:rPr>
            </w:pPr>
          </w:p>
        </w:tc>
        <w:tc>
          <w:tcPr>
            <w:tcW w:w="327" w:type="pct"/>
            <w:vAlign w:val="center"/>
          </w:tcPr>
          <w:p w14:paraId="5D02CC71">
            <w:pPr>
              <w:adjustRightInd w:val="0"/>
              <w:snapToGrid w:val="0"/>
              <w:jc w:val="center"/>
              <w:rPr>
                <w:rFonts w:ascii="Times New Roman" w:hAnsi="Times New Roman" w:cs="宋体"/>
                <w:kern w:val="0"/>
                <w:szCs w:val="21"/>
              </w:rPr>
            </w:pPr>
            <w:r>
              <w:rPr>
                <w:rFonts w:ascii="Times New Roman" w:hAnsi="Times New Roman" w:cs="宋体"/>
                <w:kern w:val="0"/>
                <w:szCs w:val="21"/>
              </w:rPr>
              <w:t>27</w:t>
            </w:r>
          </w:p>
        </w:tc>
        <w:tc>
          <w:tcPr>
            <w:tcW w:w="2309" w:type="pct"/>
            <w:vAlign w:val="center"/>
          </w:tcPr>
          <w:p w14:paraId="78324C0B">
            <w:pPr>
              <w:adjustRightInd w:val="0"/>
              <w:snapToGrid w:val="0"/>
              <w:rPr>
                <w:rFonts w:ascii="Times New Roman" w:hAnsi="Times New Roman" w:cs="宋体"/>
                <w:kern w:val="0"/>
                <w:szCs w:val="21"/>
              </w:rPr>
            </w:pPr>
            <w:r>
              <w:rPr>
                <w:rFonts w:hint="eastAsia" w:ascii="Times New Roman" w:hAnsi="Times New Roman" w:cs="宋体"/>
                <w:kern w:val="0"/>
                <w:szCs w:val="21"/>
              </w:rPr>
              <w:t>学前教育毛入学率（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A5A91C3">
            <w:pPr>
              <w:adjustRightInd w:val="0"/>
              <w:snapToGrid w:val="0"/>
              <w:jc w:val="center"/>
              <w:rPr>
                <w:rFonts w:ascii="Times New Roman" w:hAnsi="Times New Roman" w:cs="宋体"/>
                <w:kern w:val="0"/>
                <w:szCs w:val="21"/>
              </w:rPr>
            </w:pPr>
            <w:r>
              <w:rPr>
                <w:rFonts w:ascii="Times New Roman" w:hAnsi="Times New Roman" w:cs="宋体"/>
                <w:kern w:val="0"/>
                <w:szCs w:val="21"/>
              </w:rPr>
              <w:t>98</w:t>
            </w:r>
          </w:p>
        </w:tc>
        <w:tc>
          <w:tcPr>
            <w:tcW w:w="480" w:type="pct"/>
            <w:noWrap/>
            <w:vAlign w:val="center"/>
          </w:tcPr>
          <w:p w14:paraId="0191EBC9">
            <w:pPr>
              <w:adjustRightInd w:val="0"/>
              <w:snapToGrid w:val="0"/>
              <w:jc w:val="center"/>
              <w:rPr>
                <w:rFonts w:ascii="Times New Roman" w:hAnsi="Times New Roman" w:cs="宋体"/>
                <w:kern w:val="0"/>
                <w:szCs w:val="21"/>
              </w:rPr>
            </w:pPr>
            <w:r>
              <w:rPr>
                <w:rFonts w:ascii="Times New Roman" w:hAnsi="Times New Roman" w:cs="宋体"/>
                <w:kern w:val="0"/>
                <w:szCs w:val="21"/>
              </w:rPr>
              <w:t>99</w:t>
            </w:r>
          </w:p>
        </w:tc>
        <w:tc>
          <w:tcPr>
            <w:tcW w:w="586" w:type="pct"/>
            <w:noWrap/>
            <w:vAlign w:val="center"/>
          </w:tcPr>
          <w:p w14:paraId="13A060AC">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4B3BF63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DBECA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186B7246">
            <w:pPr>
              <w:adjustRightInd w:val="0"/>
              <w:snapToGrid w:val="0"/>
              <w:rPr>
                <w:rFonts w:ascii="Times New Roman" w:hAnsi="Times New Roman" w:cs="宋体"/>
                <w:kern w:val="0"/>
                <w:szCs w:val="21"/>
              </w:rPr>
            </w:pPr>
          </w:p>
        </w:tc>
        <w:tc>
          <w:tcPr>
            <w:tcW w:w="327" w:type="pct"/>
            <w:vAlign w:val="center"/>
          </w:tcPr>
          <w:p w14:paraId="061B836E">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8</w:t>
            </w:r>
          </w:p>
        </w:tc>
        <w:tc>
          <w:tcPr>
            <w:tcW w:w="2309" w:type="pct"/>
            <w:vAlign w:val="center"/>
          </w:tcPr>
          <w:p w14:paraId="1F370688">
            <w:pPr>
              <w:adjustRightInd w:val="0"/>
              <w:snapToGrid w:val="0"/>
              <w:rPr>
                <w:rFonts w:ascii="Times New Roman" w:hAnsi="Times New Roman" w:cs="宋体"/>
                <w:kern w:val="0"/>
                <w:szCs w:val="21"/>
              </w:rPr>
            </w:pPr>
            <w:r>
              <w:rPr>
                <w:rFonts w:hint="eastAsia" w:ascii="Times New Roman" w:hAnsi="Times New Roman" w:cs="宋体"/>
                <w:kern w:val="0"/>
                <w:szCs w:val="21"/>
              </w:rPr>
              <w:t>基本养老保险参保率（</w:t>
            </w:r>
            <w:r>
              <w:rPr>
                <w:rFonts w:ascii="Times New Roman" w:hAnsi="Times New Roman" w:cs="宋体"/>
                <w:kern w:val="0"/>
                <w:szCs w:val="21"/>
              </w:rPr>
              <w:t>%</w:t>
            </w:r>
            <w:r>
              <w:rPr>
                <w:rFonts w:hint="eastAsia" w:ascii="Times New Roman" w:hAnsi="Times New Roman" w:cs="宋体"/>
                <w:kern w:val="0"/>
                <w:szCs w:val="21"/>
              </w:rPr>
              <w:t>）</w:t>
            </w:r>
          </w:p>
        </w:tc>
        <w:tc>
          <w:tcPr>
            <w:tcW w:w="481" w:type="pct"/>
            <w:noWrap/>
            <w:vAlign w:val="center"/>
          </w:tcPr>
          <w:p w14:paraId="23C04410">
            <w:pPr>
              <w:adjustRightInd w:val="0"/>
              <w:snapToGrid w:val="0"/>
              <w:jc w:val="center"/>
              <w:rPr>
                <w:rFonts w:ascii="Times New Roman" w:hAnsi="Times New Roman" w:cs="宋体"/>
                <w:kern w:val="0"/>
                <w:szCs w:val="21"/>
              </w:rPr>
            </w:pPr>
            <w:r>
              <w:rPr>
                <w:rFonts w:ascii="Times New Roman" w:hAnsi="Times New Roman" w:cs="宋体"/>
                <w:kern w:val="0"/>
                <w:szCs w:val="21"/>
              </w:rPr>
              <w:t>90</w:t>
            </w:r>
          </w:p>
        </w:tc>
        <w:tc>
          <w:tcPr>
            <w:tcW w:w="480" w:type="pct"/>
            <w:noWrap/>
            <w:vAlign w:val="center"/>
          </w:tcPr>
          <w:p w14:paraId="4C4A8F42">
            <w:pPr>
              <w:adjustRightInd w:val="0"/>
              <w:snapToGrid w:val="0"/>
              <w:jc w:val="center"/>
              <w:rPr>
                <w:rFonts w:ascii="Times New Roman" w:hAnsi="Times New Roman" w:cs="宋体"/>
                <w:kern w:val="0"/>
                <w:szCs w:val="21"/>
              </w:rPr>
            </w:pPr>
            <w:r>
              <w:rPr>
                <w:rFonts w:ascii="Times New Roman" w:hAnsi="Times New Roman" w:cs="宋体"/>
                <w:kern w:val="0"/>
                <w:szCs w:val="21"/>
              </w:rPr>
              <w:t>95</w:t>
            </w:r>
          </w:p>
        </w:tc>
        <w:tc>
          <w:tcPr>
            <w:tcW w:w="586" w:type="pct"/>
            <w:noWrap/>
            <w:vAlign w:val="center"/>
          </w:tcPr>
          <w:p w14:paraId="0F87E758">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3C9AE70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351ED7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3CCFFAD9">
            <w:pPr>
              <w:adjustRightInd w:val="0"/>
              <w:snapToGrid w:val="0"/>
              <w:rPr>
                <w:rFonts w:ascii="Times New Roman" w:hAnsi="Times New Roman" w:cs="宋体"/>
                <w:kern w:val="0"/>
                <w:szCs w:val="21"/>
              </w:rPr>
            </w:pPr>
          </w:p>
        </w:tc>
        <w:tc>
          <w:tcPr>
            <w:tcW w:w="327" w:type="pct"/>
            <w:vAlign w:val="center"/>
          </w:tcPr>
          <w:p w14:paraId="5244FAD3">
            <w:pPr>
              <w:adjustRightInd w:val="0"/>
              <w:snapToGrid w:val="0"/>
              <w:jc w:val="center"/>
              <w:rPr>
                <w:rFonts w:ascii="Times New Roman" w:hAnsi="Times New Roman" w:cs="宋体"/>
                <w:kern w:val="0"/>
                <w:szCs w:val="21"/>
              </w:rPr>
            </w:pPr>
            <w:r>
              <w:rPr>
                <w:rFonts w:hint="eastAsia" w:ascii="Times New Roman" w:hAnsi="Times New Roman" w:cs="宋体"/>
                <w:kern w:val="0"/>
                <w:szCs w:val="21"/>
              </w:rPr>
              <w:t>2</w:t>
            </w:r>
            <w:r>
              <w:rPr>
                <w:rFonts w:ascii="Times New Roman" w:hAnsi="Times New Roman" w:cs="宋体"/>
                <w:kern w:val="0"/>
                <w:szCs w:val="21"/>
              </w:rPr>
              <w:t>9</w:t>
            </w:r>
          </w:p>
        </w:tc>
        <w:tc>
          <w:tcPr>
            <w:tcW w:w="2309" w:type="pct"/>
            <w:vAlign w:val="center"/>
          </w:tcPr>
          <w:p w14:paraId="3B06312C">
            <w:pPr>
              <w:adjustRightInd w:val="0"/>
              <w:snapToGrid w:val="0"/>
              <w:rPr>
                <w:rFonts w:ascii="Times New Roman" w:hAnsi="Times New Roman" w:cs="宋体"/>
                <w:kern w:val="0"/>
                <w:szCs w:val="21"/>
              </w:rPr>
            </w:pPr>
            <w:r>
              <w:rPr>
                <w:rFonts w:hint="eastAsia" w:ascii="Times New Roman" w:hAnsi="Times New Roman" w:cs="宋体"/>
                <w:kern w:val="0"/>
                <w:szCs w:val="21"/>
              </w:rPr>
              <w:t>人均预期寿命</w:t>
            </w:r>
          </w:p>
        </w:tc>
        <w:tc>
          <w:tcPr>
            <w:tcW w:w="481" w:type="pct"/>
            <w:noWrap/>
            <w:vAlign w:val="center"/>
          </w:tcPr>
          <w:p w14:paraId="3053E48F">
            <w:pPr>
              <w:adjustRightInd w:val="0"/>
              <w:snapToGrid w:val="0"/>
              <w:jc w:val="center"/>
              <w:rPr>
                <w:rFonts w:ascii="Times New Roman" w:hAnsi="Times New Roman" w:cs="宋体"/>
                <w:kern w:val="0"/>
                <w:szCs w:val="21"/>
              </w:rPr>
            </w:pPr>
            <w:r>
              <w:rPr>
                <w:rFonts w:ascii="Times New Roman" w:hAnsi="Times New Roman" w:cs="宋体"/>
                <w:kern w:val="0"/>
                <w:szCs w:val="21"/>
              </w:rPr>
              <w:t>77</w:t>
            </w:r>
          </w:p>
        </w:tc>
        <w:tc>
          <w:tcPr>
            <w:tcW w:w="480" w:type="pct"/>
            <w:noWrap/>
            <w:vAlign w:val="center"/>
          </w:tcPr>
          <w:p w14:paraId="60312B63">
            <w:pPr>
              <w:adjustRightInd w:val="0"/>
              <w:snapToGrid w:val="0"/>
              <w:jc w:val="center"/>
              <w:rPr>
                <w:rFonts w:ascii="Times New Roman" w:hAnsi="Times New Roman" w:cs="宋体"/>
                <w:kern w:val="0"/>
                <w:szCs w:val="21"/>
              </w:rPr>
            </w:pPr>
            <w:r>
              <w:rPr>
                <w:rFonts w:ascii="Times New Roman" w:hAnsi="Times New Roman" w:cs="宋体"/>
                <w:kern w:val="0"/>
                <w:szCs w:val="21"/>
              </w:rPr>
              <w:t>78</w:t>
            </w:r>
          </w:p>
        </w:tc>
        <w:tc>
          <w:tcPr>
            <w:tcW w:w="586" w:type="pct"/>
            <w:noWrap/>
            <w:vAlign w:val="center"/>
          </w:tcPr>
          <w:p w14:paraId="1267C5A2">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753EF81D">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r w14:paraId="27265B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9" w:hRule="atLeast"/>
          <w:jc w:val="center"/>
        </w:trPr>
        <w:tc>
          <w:tcPr>
            <w:tcW w:w="323" w:type="pct"/>
            <w:vMerge w:val="continue"/>
            <w:vAlign w:val="center"/>
          </w:tcPr>
          <w:p w14:paraId="6399632B">
            <w:pPr>
              <w:adjustRightInd w:val="0"/>
              <w:snapToGrid w:val="0"/>
              <w:rPr>
                <w:rFonts w:ascii="Times New Roman" w:hAnsi="Times New Roman" w:cs="宋体"/>
                <w:kern w:val="0"/>
                <w:szCs w:val="21"/>
              </w:rPr>
            </w:pPr>
          </w:p>
        </w:tc>
        <w:tc>
          <w:tcPr>
            <w:tcW w:w="327" w:type="pct"/>
            <w:vAlign w:val="center"/>
          </w:tcPr>
          <w:p w14:paraId="5C645E6F">
            <w:pPr>
              <w:adjustRightInd w:val="0"/>
              <w:snapToGrid w:val="0"/>
              <w:jc w:val="center"/>
              <w:rPr>
                <w:rFonts w:ascii="Times New Roman" w:hAnsi="Times New Roman" w:cs="宋体"/>
                <w:kern w:val="0"/>
                <w:szCs w:val="21"/>
              </w:rPr>
            </w:pPr>
            <w:r>
              <w:rPr>
                <w:rFonts w:hint="eastAsia" w:ascii="Times New Roman" w:hAnsi="Times New Roman" w:cs="宋体"/>
                <w:kern w:val="0"/>
                <w:szCs w:val="21"/>
              </w:rPr>
              <w:t>3</w:t>
            </w:r>
            <w:r>
              <w:rPr>
                <w:rFonts w:ascii="Times New Roman" w:hAnsi="Times New Roman" w:cs="宋体"/>
                <w:kern w:val="0"/>
                <w:szCs w:val="21"/>
              </w:rPr>
              <w:t>0</w:t>
            </w:r>
          </w:p>
        </w:tc>
        <w:tc>
          <w:tcPr>
            <w:tcW w:w="2309" w:type="pct"/>
            <w:vAlign w:val="center"/>
          </w:tcPr>
          <w:p w14:paraId="7588D592">
            <w:pPr>
              <w:adjustRightInd w:val="0"/>
              <w:snapToGrid w:val="0"/>
              <w:rPr>
                <w:rFonts w:ascii="Times New Roman" w:hAnsi="Times New Roman" w:cs="宋体"/>
                <w:spacing w:val="-4"/>
                <w:kern w:val="0"/>
                <w:szCs w:val="21"/>
              </w:rPr>
            </w:pPr>
            <w:r>
              <w:rPr>
                <w:rFonts w:hint="eastAsia" w:ascii="Times New Roman" w:hAnsi="Times New Roman" w:cs="宋体"/>
                <w:spacing w:val="-4"/>
                <w:kern w:val="0"/>
                <w:szCs w:val="21"/>
              </w:rPr>
              <w:t>每千人常住人口卫生技术人员数（人</w:t>
            </w:r>
            <w:r>
              <w:rPr>
                <w:rFonts w:ascii="Times New Roman" w:hAnsi="Times New Roman" w:cs="宋体"/>
                <w:spacing w:val="-4"/>
                <w:kern w:val="0"/>
                <w:szCs w:val="21"/>
              </w:rPr>
              <w:t>/</w:t>
            </w:r>
            <w:r>
              <w:rPr>
                <w:rFonts w:hint="eastAsia" w:ascii="Times New Roman" w:hAnsi="Times New Roman" w:cs="宋体"/>
                <w:spacing w:val="-4"/>
                <w:kern w:val="0"/>
                <w:szCs w:val="21"/>
              </w:rPr>
              <w:t>千人）</w:t>
            </w:r>
          </w:p>
        </w:tc>
        <w:tc>
          <w:tcPr>
            <w:tcW w:w="481" w:type="pct"/>
            <w:noWrap/>
            <w:vAlign w:val="center"/>
          </w:tcPr>
          <w:p w14:paraId="760959B9">
            <w:pPr>
              <w:adjustRightInd w:val="0"/>
              <w:snapToGrid w:val="0"/>
              <w:jc w:val="center"/>
              <w:rPr>
                <w:rFonts w:ascii="Times New Roman" w:hAnsi="Times New Roman" w:cs="宋体"/>
                <w:kern w:val="0"/>
                <w:szCs w:val="21"/>
              </w:rPr>
            </w:pPr>
            <w:r>
              <w:rPr>
                <w:rFonts w:ascii="Times New Roman" w:hAnsi="Times New Roman" w:cs="宋体"/>
                <w:kern w:val="0"/>
                <w:szCs w:val="21"/>
              </w:rPr>
              <w:t>13</w:t>
            </w:r>
          </w:p>
        </w:tc>
        <w:tc>
          <w:tcPr>
            <w:tcW w:w="480" w:type="pct"/>
            <w:noWrap/>
            <w:vAlign w:val="center"/>
          </w:tcPr>
          <w:p w14:paraId="3A28EA88">
            <w:pPr>
              <w:adjustRightInd w:val="0"/>
              <w:snapToGrid w:val="0"/>
              <w:jc w:val="center"/>
              <w:rPr>
                <w:rFonts w:ascii="Times New Roman" w:hAnsi="Times New Roman" w:cs="宋体"/>
                <w:kern w:val="0"/>
                <w:szCs w:val="21"/>
              </w:rPr>
            </w:pPr>
            <w:r>
              <w:rPr>
                <w:rFonts w:ascii="Times New Roman" w:hAnsi="Times New Roman" w:cs="宋体"/>
                <w:kern w:val="0"/>
                <w:szCs w:val="21"/>
              </w:rPr>
              <w:t>15</w:t>
            </w:r>
          </w:p>
        </w:tc>
        <w:tc>
          <w:tcPr>
            <w:tcW w:w="586" w:type="pct"/>
            <w:noWrap/>
            <w:vAlign w:val="center"/>
          </w:tcPr>
          <w:p w14:paraId="4AE11DE3">
            <w:pPr>
              <w:adjustRightInd w:val="0"/>
              <w:snapToGrid w:val="0"/>
              <w:jc w:val="center"/>
              <w:rPr>
                <w:rFonts w:ascii="Times New Roman" w:hAnsi="Times New Roman" w:cs="宋体"/>
                <w:kern w:val="0"/>
                <w:szCs w:val="21"/>
              </w:rPr>
            </w:pPr>
            <w:r>
              <w:rPr>
                <w:rFonts w:ascii="Times New Roman" w:hAnsi="Times New Roman" w:cs="宋体"/>
                <w:kern w:val="0"/>
                <w:szCs w:val="21"/>
              </w:rPr>
              <w:t>-</w:t>
            </w:r>
          </w:p>
        </w:tc>
        <w:tc>
          <w:tcPr>
            <w:tcW w:w="494" w:type="pct"/>
            <w:noWrap/>
            <w:vAlign w:val="center"/>
          </w:tcPr>
          <w:p w14:paraId="1E5DC387">
            <w:pPr>
              <w:adjustRightInd w:val="0"/>
              <w:snapToGrid w:val="0"/>
              <w:jc w:val="center"/>
              <w:rPr>
                <w:rFonts w:ascii="Times New Roman" w:hAnsi="Times New Roman" w:cs="宋体"/>
                <w:kern w:val="0"/>
                <w:szCs w:val="21"/>
              </w:rPr>
            </w:pPr>
            <w:r>
              <w:rPr>
                <w:rFonts w:hint="eastAsia" w:ascii="Times New Roman" w:hAnsi="Times New Roman" w:cs="宋体"/>
                <w:kern w:val="0"/>
                <w:szCs w:val="21"/>
              </w:rPr>
              <w:t>预期性</w:t>
            </w:r>
          </w:p>
        </w:tc>
      </w:tr>
    </w:tbl>
    <w:p w14:paraId="4B8F5F5C">
      <w:pPr>
        <w:rPr>
          <w:rFonts w:ascii="Times New Roman" w:hAnsi="Times New Roman" w:cs="宋体"/>
          <w:b/>
          <w:kern w:val="0"/>
          <w:szCs w:val="21"/>
        </w:rPr>
      </w:pPr>
      <w:r>
        <w:rPr>
          <w:rFonts w:hint="eastAsia" w:ascii="Times New Roman" w:hAnsi="Times New Roman"/>
          <w:b/>
        </w:rPr>
        <w:t>注：“年均增长”栏中</w:t>
      </w:r>
      <w:r>
        <w:rPr>
          <w:rFonts w:ascii="Times New Roman" w:hAnsi="Times New Roman" w:cs="宋体"/>
          <w:b/>
          <w:kern w:val="0"/>
          <w:szCs w:val="21"/>
        </w:rPr>
        <w:t>[ ]</w:t>
      </w:r>
      <w:r>
        <w:rPr>
          <w:rFonts w:hint="eastAsia" w:ascii="Times New Roman" w:hAnsi="Times New Roman" w:cs="宋体"/>
          <w:b/>
          <w:kern w:val="0"/>
          <w:szCs w:val="21"/>
        </w:rPr>
        <w:t>所列数值为五年累计数据,*以省市下达指标为准。</w:t>
      </w:r>
    </w:p>
    <w:p w14:paraId="5DC74B2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96" w:name="_Toc66442952"/>
      <w:r>
        <w:rPr>
          <w:rFonts w:hint="eastAsia" w:ascii="Times New Roman" w:hAnsi="Times New Roman" w:cs="宋体"/>
          <w:bCs w:val="0"/>
          <w:sz w:val="32"/>
          <w:szCs w:val="24"/>
        </w:rPr>
        <w:t>第四节 2035年远景</w:t>
      </w:r>
      <w:bookmarkEnd w:id="96"/>
      <w:r>
        <w:rPr>
          <w:rFonts w:hint="eastAsia" w:ascii="Times New Roman" w:hAnsi="Times New Roman" w:cs="宋体"/>
          <w:bCs w:val="0"/>
          <w:sz w:val="32"/>
          <w:szCs w:val="24"/>
        </w:rPr>
        <w:t>目标</w:t>
      </w:r>
    </w:p>
    <w:p w14:paraId="746AF25E">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到2035年，全区经济建设、政治建设、文化建设、社会建设、生态文明建设迈上新台阶，发展中存在的不平衡不充分问题基本得到破解，与全国同步基本实现社会主义现代化，在全国区域发展和对外开放格局中的地位更加凸显，“一带一路”上的国际化城市核心区的功能完整显现，基本建成国际化城市环境，辐射带动能力大幅提升。</w:t>
      </w:r>
    </w:p>
    <w:p w14:paraId="4C30D158">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——经济综合实力和创新能力大幅提升，实现高质量发展，地区生产总值和人均地区生产总值较2020年翻一番，达到中等发达国家水平，创新能力持续强化，全要素生产率对经济增长的贡献度明显提高。</w:t>
      </w:r>
    </w:p>
    <w:p w14:paraId="31F0329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——基本实现新型工业化、信息化、城镇化、农业现代化，建成现代化经济体系，发展质量得到更大实质性提升，建成结构优化、创新驱动、效益良好、充满活力、具有金台特色的现代化经济体系。</w:t>
      </w:r>
    </w:p>
    <w:p w14:paraId="6293F0B9">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——对外开放再上新台阶，开放型经济发展水平保持全省领先，参与国际经济合作和竞争新优势明显增强，营商环境便利度、贸易依存度保持全省第一方阵，开放不足短板基本破解。</w:t>
      </w:r>
    </w:p>
    <w:p w14:paraId="3FB3633E">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高品质生活迈向更高水平，社会主义核心价值观融入社会发展各个方面，文化影响力显著增强，建成高品质生活新高地，基本公共服务实现均等化，多层次社会保障体系更加完善，城乡居民收入较2020年翻一番，人的全面发展和人民共同富裕取得更大实质性进展。</w:t>
      </w:r>
    </w:p>
    <w:p w14:paraId="13575BAF">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——生态环境根本好转，绿水青山就是金山银山的理念深入人心，绿色生产生活方式广泛形成，单位生产总值能耗持续降低,碳排放达到峰值后稳中有降。</w:t>
      </w:r>
    </w:p>
    <w:p w14:paraId="456C90D0">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——治理体系和治理能力基本实现现代化，平安金台建设达到更高水平，</w:t>
      </w:r>
      <w:r>
        <w:rPr>
          <w:rFonts w:hint="eastAsia" w:ascii="仿宋_GB2312" w:hAnsi="仿宋_GB2312" w:eastAsia="仿宋_GB2312" w:cs="仿宋_GB2312"/>
          <w:sz w:val="32"/>
          <w:szCs w:val="32"/>
          <w:lang w:eastAsia="zh-CN"/>
        </w:rPr>
        <w:t>法治国家、法治政府、法治社会</w:t>
      </w:r>
      <w:r>
        <w:rPr>
          <w:rFonts w:hint="eastAsia" w:ascii="仿宋_GB2312" w:hAnsi="仿宋_GB2312" w:eastAsia="仿宋_GB2312" w:cs="仿宋_GB2312"/>
          <w:sz w:val="32"/>
          <w:szCs w:val="32"/>
        </w:rPr>
        <w:t>基本建成，践行新发展理念，推进高水平治理的制度体系更加成熟。</w:t>
      </w:r>
    </w:p>
    <w:p w14:paraId="5B94F5AB">
      <w:pPr>
        <w:rPr>
          <w:rFonts w:ascii="仿宋_GB2312" w:hAnsi="仿宋_GB2312" w:eastAsia="仿宋_GB2312" w:cs="仿宋_GB2312"/>
        </w:rPr>
        <w:sectPr>
          <w:pgSz w:w="11907" w:h="16840"/>
          <w:pgMar w:top="1440" w:right="1474" w:bottom="1440" w:left="1588" w:header="851" w:footer="992" w:gutter="0"/>
          <w:cols w:space="425" w:num="1"/>
          <w:docGrid w:linePitch="312" w:charSpace="0"/>
        </w:sectPr>
      </w:pPr>
    </w:p>
    <w:p w14:paraId="2B8C5070">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97" w:name="_Toc66442953"/>
      <w:bookmarkStart w:id="98" w:name="_Toc50988057"/>
      <w:bookmarkStart w:id="99" w:name="_Toc53863291"/>
      <w:bookmarkStart w:id="100" w:name="_Toc50988309"/>
      <w:r>
        <w:rPr>
          <w:rFonts w:hint="eastAsia" w:eastAsia="方正小标宋简体"/>
          <w:b w:val="0"/>
          <w:iCs/>
          <w:kern w:val="2"/>
          <w:sz w:val="36"/>
          <w:szCs w:val="36"/>
        </w:rPr>
        <w:t>优化国土空间布局，</w:t>
      </w:r>
      <w:bookmarkEnd w:id="93"/>
      <w:bookmarkEnd w:id="94"/>
      <w:r>
        <w:rPr>
          <w:rFonts w:hint="eastAsia" w:eastAsia="方正小标宋简体"/>
          <w:b w:val="0"/>
          <w:iCs/>
          <w:kern w:val="2"/>
          <w:sz w:val="36"/>
          <w:szCs w:val="36"/>
        </w:rPr>
        <w:t>构筑城市发展新格局</w:t>
      </w:r>
      <w:bookmarkEnd w:id="95"/>
      <w:bookmarkEnd w:id="97"/>
      <w:bookmarkEnd w:id="98"/>
      <w:bookmarkEnd w:id="99"/>
      <w:bookmarkEnd w:id="100"/>
    </w:p>
    <w:p w14:paraId="07EFC623">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统筹规划国土空间，协同划定“三区三线”，优化产业体系、</w:t>
      </w:r>
      <w:r>
        <w:rPr>
          <w:rFonts w:hint="eastAsia" w:ascii="Times New Roman" w:hAnsi="Times New Roman" w:eastAsia="仿宋_GB2312"/>
          <w:spacing w:val="-4"/>
          <w:sz w:val="32"/>
          <w:szCs w:val="32"/>
        </w:rPr>
        <w:t>城市功能、基础设施等总体布局，促进城市从空间扩张向功能提升转变，提升集约化水平，推进主城区、蟠龙高新区“双城共兴”，推动区域协调发展，打造宜居宜业高品质生活新高地</w:t>
      </w:r>
      <w:r>
        <w:rPr>
          <w:rFonts w:hint="eastAsia" w:ascii="Times New Roman" w:hAnsi="Times New Roman" w:eastAsia="仿宋_GB2312"/>
          <w:sz w:val="32"/>
          <w:szCs w:val="32"/>
        </w:rPr>
        <w:t>。</w:t>
      </w:r>
    </w:p>
    <w:p w14:paraId="6D180E1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1" w:name="_Toc53863292"/>
      <w:bookmarkStart w:id="102" w:name="_Toc51047250"/>
      <w:bookmarkStart w:id="103" w:name="_Toc51063458"/>
      <w:bookmarkStart w:id="104" w:name="_Toc66442954"/>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总体布局</w:t>
      </w:r>
      <w:bookmarkEnd w:id="101"/>
      <w:bookmarkEnd w:id="102"/>
      <w:bookmarkEnd w:id="103"/>
      <w:bookmarkEnd w:id="104"/>
    </w:p>
    <w:p w14:paraId="7EA54E3F">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按照主体功能思路，以自然生态为本底，交通网络为框架，以产业布局为支撑，总体构筑“一廊两带四区六心”发展布局。</w:t>
      </w:r>
    </w:p>
    <w:p w14:paraId="52005B0F">
      <w:pPr>
        <w:pStyle w:val="8"/>
        <w:ind w:firstLine="640"/>
        <w:rPr>
          <w:rFonts w:ascii="Times New Roman" w:hAnsi="Times New Roman" w:eastAsia="仿宋_GB2312"/>
          <w:sz w:val="32"/>
          <w:szCs w:val="32"/>
        </w:rPr>
      </w:pPr>
    </w:p>
    <w:p w14:paraId="12D4F1E9">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612130" cy="3524250"/>
            <wp:effectExtent l="0" t="0" r="762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noChangeArrowheads="1"/>
                    </pic:cNvPicPr>
                  </pic:nvPicPr>
                  <pic:blipFill>
                    <a:blip r:embed="rId10">
                      <a:extLst>
                        <a:ext uri="{28A0092B-C50C-407E-A947-70E740481C1C}">
                          <a14:useLocalDpi xmlns:a14="http://schemas.microsoft.com/office/drawing/2010/main" val="0"/>
                        </a:ext>
                      </a:extLst>
                    </a:blip>
                    <a:srcRect l="3729" t="9238" r="3656" b="8601"/>
                    <a:stretch>
                      <a:fillRect/>
                    </a:stretch>
                  </pic:blipFill>
                  <pic:spPr>
                    <a:xfrm>
                      <a:off x="0" y="0"/>
                      <a:ext cx="5612130" cy="3524250"/>
                    </a:xfrm>
                    <a:prstGeom prst="rect">
                      <a:avLst/>
                    </a:prstGeom>
                    <a:noFill/>
                    <a:ln>
                      <a:noFill/>
                    </a:ln>
                  </pic:spPr>
                </pic:pic>
              </a:graphicData>
            </a:graphic>
          </wp:inline>
        </w:drawing>
      </w:r>
    </w:p>
    <w:p w14:paraId="7CE5C5F4">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图3-1 金台区“十四五”功能结构图</w:t>
      </w:r>
    </w:p>
    <w:p w14:paraId="0F1B8D84">
      <w:pPr>
        <w:rPr>
          <w:rFonts w:ascii="Times New Roman" w:hAnsi="Times New Roman" w:eastAsia="黑体"/>
          <w:sz w:val="24"/>
          <w:szCs w:val="24"/>
        </w:rPr>
      </w:pPr>
      <w:r>
        <w:rPr>
          <w:rFonts w:hint="eastAsia" w:ascii="Times New Roman" w:hAnsi="Times New Roman" w:eastAsia="黑体"/>
          <w:sz w:val="24"/>
          <w:szCs w:val="24"/>
        </w:rPr>
        <w:br w:type="page"/>
      </w:r>
    </w:p>
    <w:p w14:paraId="1C87446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05" w:name="_Toc66442955"/>
      <w:r>
        <w:rPr>
          <w:rFonts w:hint="eastAsia" w:ascii="Times New Roman" w:hAnsi="Times New Roman" w:cs="宋体"/>
          <w:bCs w:val="0"/>
          <w:sz w:val="32"/>
          <w:szCs w:val="24"/>
        </w:rPr>
        <w:t>第二节 空间策略</w:t>
      </w:r>
      <w:bookmarkEnd w:id="105"/>
    </w:p>
    <w:p w14:paraId="5272E68B">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一廊两带</w:t>
      </w:r>
    </w:p>
    <w:p w14:paraId="094971AA">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一廊。渭河生态景观长廊</w:t>
      </w:r>
      <w:r>
        <w:rPr>
          <w:rFonts w:hint="eastAsia" w:ascii="Times New Roman" w:hAnsi="Times New Roman" w:eastAsia="仿宋_GB2312"/>
          <w:sz w:val="32"/>
          <w:szCs w:val="32"/>
        </w:rPr>
        <w:t>。以黄河流域生态保护和高质量发展为指导，坚持生态保护与高质量发展统筹协调，进行生态治理、河道堤岸绿化，打造“生态、文化、景观”长廊，助推生态文明示范区建设。</w:t>
      </w:r>
    </w:p>
    <w:p w14:paraId="1BA4AE4F">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两带。文化发展带</w:t>
      </w:r>
      <w:r>
        <w:rPr>
          <w:rFonts w:hint="eastAsia" w:ascii="Times New Roman" w:hAnsi="Times New Roman" w:eastAsia="仿宋_GB2312"/>
          <w:sz w:val="32"/>
          <w:szCs w:val="32"/>
        </w:rPr>
        <w:t>。串联陈仓古城、长乐塬、北首岭、金台观、西府老街、宝鸡峡渠首等文化资源，重点开发文化旅游产业，打造大北坡中华文化长廊。</w:t>
      </w:r>
      <w:r>
        <w:rPr>
          <w:rFonts w:hint="eastAsia" w:ascii="Times New Roman" w:hAnsi="Times New Roman" w:eastAsia="仿宋_GB2312"/>
          <w:b/>
          <w:sz w:val="32"/>
          <w:szCs w:val="32"/>
        </w:rPr>
        <w:t>城市发展带。</w:t>
      </w:r>
      <w:r>
        <w:rPr>
          <w:rFonts w:hint="eastAsia" w:ascii="Times New Roman" w:hAnsi="Times New Roman" w:eastAsia="仿宋_GB2312"/>
          <w:sz w:val="32"/>
          <w:szCs w:val="32"/>
        </w:rPr>
        <w:t>串联卧龙寺、十里铺、东风路、中山东路、中山西路、西关等街道，重点以沿线功能提升、环境景观整治为主。</w:t>
      </w:r>
    </w:p>
    <w:p w14:paraId="1548247E">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bookmarkStart w:id="106" w:name="_Toc50988311"/>
      <w:bookmarkStart w:id="107" w:name="_Toc50710095"/>
      <w:bookmarkStart w:id="108" w:name="_Toc50988059"/>
      <w:bookmarkStart w:id="109" w:name="_Toc53863293"/>
      <w:bookmarkStart w:id="110" w:name="_Toc42100053"/>
      <w:bookmarkStart w:id="111" w:name="_Toc41854914"/>
      <w:bookmarkStart w:id="112" w:name="_Toc42610347"/>
      <w:r>
        <w:rPr>
          <w:rFonts w:hint="eastAsia" w:ascii="Times New Roman" w:hAnsi="Times New Roman" w:eastAsia="楷体"/>
          <w:b/>
          <w:bCs/>
          <w:sz w:val="32"/>
          <w:szCs w:val="32"/>
        </w:rPr>
        <w:t>四区</w:t>
      </w:r>
      <w:bookmarkEnd w:id="106"/>
      <w:bookmarkEnd w:id="107"/>
      <w:bookmarkEnd w:id="108"/>
      <w:bookmarkEnd w:id="109"/>
      <w:r>
        <w:rPr>
          <w:rFonts w:hint="eastAsia" w:ascii="Times New Roman" w:hAnsi="Times New Roman" w:eastAsia="楷体"/>
          <w:b/>
          <w:bCs/>
          <w:sz w:val="32"/>
          <w:szCs w:val="32"/>
        </w:rPr>
        <w:t>发展</w:t>
      </w:r>
    </w:p>
    <w:p w14:paraId="6713AF0F">
      <w:pPr>
        <w:adjustRightInd w:val="0"/>
        <w:snapToGrid w:val="0"/>
        <w:spacing w:line="560" w:lineRule="exact"/>
        <w:ind w:firstLine="643" w:firstLineChars="200"/>
        <w:jc w:val="both"/>
        <w:rPr>
          <w:rFonts w:ascii="仿宋_GB2312" w:hAnsi="仿宋_GB2312" w:eastAsia="仿宋_GB2312" w:cs="仿宋_GB2312"/>
          <w:spacing w:val="-4"/>
          <w:sz w:val="32"/>
          <w:szCs w:val="32"/>
        </w:rPr>
      </w:pPr>
      <w:r>
        <w:rPr>
          <w:rFonts w:hint="eastAsia" w:ascii="仿宋_GB2312" w:hAnsi="仿宋_GB2312" w:eastAsia="仿宋_GB2312" w:cs="仿宋_GB2312"/>
          <w:b/>
          <w:sz w:val="32"/>
          <w:szCs w:val="32"/>
        </w:rPr>
        <w:t>城市核心引领区。</w:t>
      </w:r>
      <w:r>
        <w:rPr>
          <w:rFonts w:hint="eastAsia" w:ascii="仿宋_GB2312" w:hAnsi="仿宋_GB2312" w:eastAsia="仿宋_GB2312" w:cs="仿宋_GB2312"/>
          <w:sz w:val="32"/>
          <w:szCs w:val="32"/>
        </w:rPr>
        <w:t>渭河至北坡区域的主城区，包括卧龙寺、十里铺、东风路、中山东路、中山西路和西关等街道全部及陈仓镇、群众路街道部分区域。以城市有机更新、提升国际化城市服务功能为主，重点完善政务服务、金融商务、文化艺术、商贸物流等功能，推进城市综合体、物流园区、总部经济、夜间经济等业态发展，提升环境品质。到2025年，将主城区建设成集政务服务、金融商务、商贸物流、文化艺</w:t>
      </w:r>
      <w:r>
        <w:rPr>
          <w:rFonts w:hint="eastAsia" w:ascii="仿宋_GB2312" w:hAnsi="仿宋_GB2312" w:eastAsia="仿宋_GB2312" w:cs="仿宋_GB2312"/>
          <w:spacing w:val="-4"/>
          <w:sz w:val="32"/>
          <w:szCs w:val="32"/>
        </w:rPr>
        <w:t>术为主要功能的国际化主城区。</w:t>
      </w:r>
    </w:p>
    <w:p w14:paraId="57A3F825">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城市新区拓展区。</w:t>
      </w:r>
      <w:r>
        <w:rPr>
          <w:rFonts w:hint="eastAsia" w:ascii="Times New Roman" w:hAnsi="Times New Roman" w:eastAsia="仿宋_GB2312"/>
          <w:sz w:val="32"/>
          <w:szCs w:val="32"/>
        </w:rPr>
        <w:t>以公园城市理念高质量、高标准推进蟠龙高新区建设。坚持产业先行，实施</w:t>
      </w:r>
      <w:r>
        <w:rPr>
          <w:rFonts w:hint="eastAsia" w:ascii="Times New Roman" w:hAnsi="Times New Roman" w:eastAsia="仿宋_GB2312"/>
          <w:sz w:val="32"/>
          <w:szCs w:val="32"/>
          <w:lang w:eastAsia="zh-CN"/>
        </w:rPr>
        <w:t>创新驱动发展战略</w:t>
      </w:r>
      <w:r>
        <w:rPr>
          <w:rFonts w:hint="eastAsia" w:ascii="Times New Roman" w:hAnsi="Times New Roman" w:eastAsia="仿宋_GB2312"/>
          <w:sz w:val="32"/>
          <w:szCs w:val="32"/>
        </w:rPr>
        <w:t>，推动产业高质量发展，强化新区核心功能，营造高品质生活环境，解决对外交通联系，完善区级公共服务设施配套，高起点高标准建设科教中</w:t>
      </w:r>
      <w:r>
        <w:rPr>
          <w:rFonts w:hint="eastAsia" w:ascii="仿宋_GB2312" w:hAnsi="仿宋_GB2312" w:eastAsia="仿宋_GB2312" w:cs="仿宋_GB2312"/>
          <w:sz w:val="32"/>
          <w:szCs w:val="32"/>
        </w:rPr>
        <w:t>心。到2025年，将蟠龙高新区建成具有国际特色的科教新城、康养新城、生态新城。</w:t>
      </w:r>
    </w:p>
    <w:p w14:paraId="0047E01E">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城乡融合发展区。</w:t>
      </w:r>
      <w:r>
        <w:rPr>
          <w:rFonts w:hint="eastAsia" w:ascii="仿宋_GB2312" w:hAnsi="仿宋_GB2312" w:eastAsia="仿宋_GB2312" w:cs="仿宋_GB2312"/>
          <w:sz w:val="32"/>
          <w:szCs w:val="32"/>
        </w:rPr>
        <w:t>由胜利塬、马家塬和金河镇北部组成。统筹推进三产融合发展、城乡融合发展。胜利塬发展民俗文化游，马家塬发展现代休闲观光农业、农副产品精深加工，建立再生资源循环经济产业园，带动周边产业以及农业科技创新发展；</w:t>
      </w:r>
      <w:r>
        <w:rPr>
          <w:rFonts w:hint="eastAsia" w:ascii="仿宋_GB2312" w:hAnsi="仿宋_GB2312" w:eastAsia="仿宋_GB2312" w:cs="仿宋_GB2312"/>
          <w:spacing w:val="-2"/>
          <w:sz w:val="32"/>
          <w:szCs w:val="32"/>
        </w:rPr>
        <w:t>金河镇北部做大做强先进制造业，壮大金河工业园区，建设美丽城镇、美丽乡村，发展乡村旅游。到2025年，基本形成以文化为内涵、生态为本底，融合现代都市农业、先进制造业、生态观光、休闲度假于一体城乡融合发展格局</w:t>
      </w:r>
      <w:r>
        <w:rPr>
          <w:rFonts w:hint="eastAsia" w:ascii="仿宋_GB2312" w:hAnsi="仿宋_GB2312" w:eastAsia="仿宋_GB2312" w:cs="仿宋_GB2312"/>
          <w:sz w:val="32"/>
          <w:szCs w:val="32"/>
        </w:rPr>
        <w:t>。</w:t>
      </w:r>
    </w:p>
    <w:p w14:paraId="6081B57B">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生态经济发展区。</w:t>
      </w:r>
      <w:r>
        <w:rPr>
          <w:rFonts w:hint="eastAsia" w:ascii="仿宋_GB2312" w:hAnsi="仿宋_GB2312" w:eastAsia="仿宋_GB2312" w:cs="仿宋_GB2312"/>
          <w:sz w:val="32"/>
          <w:szCs w:val="32"/>
        </w:rPr>
        <w:t>主要为硖石镇区域。重点提升农村环境、实施垃圾无害化处理，加大六川河、硖石河流域生态治理。推进红枫大道、长坪公路沿线以及五彩山村暴家河旅游景点建设，大力开展乡村旅游，拉开全域旅游发展框架。以特色农产品、旅游产品营销为重点，打造硖石乡村电商服务中心。进行迁村并点，开展集体建设用地整治，盘活存量建设用地，在满足生态保护条件下，种植经济林、柴胡等。到2025年，建设成以生态环境保护为根本，集现代农业、文化生态旅游、电子商务、乡村振兴示范点等功能于一体的休闲观光度假区，打造成“宝鸡市城市后花园”。</w:t>
      </w:r>
    </w:p>
    <w:bookmarkEnd w:id="110"/>
    <w:bookmarkEnd w:id="111"/>
    <w:bookmarkEnd w:id="112"/>
    <w:p w14:paraId="4E524156">
      <w:pPr>
        <w:numPr>
          <w:ilvl w:val="0"/>
          <w:numId w:val="4"/>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六心建设</w:t>
      </w:r>
    </w:p>
    <w:p w14:paraId="009F9ED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政务中心。</w:t>
      </w:r>
      <w:r>
        <w:rPr>
          <w:rFonts w:hint="eastAsia" w:ascii="Times New Roman" w:hAnsi="Times New Roman" w:eastAsia="仿宋_GB2312"/>
          <w:sz w:val="32"/>
          <w:szCs w:val="32"/>
        </w:rPr>
        <w:t>依托行政中心区域完善国际化城市行政、商务、总部等功能，提升环境品质，发展楼宇经济和总部经济。</w:t>
      </w:r>
    </w:p>
    <w:p w14:paraId="38C88334">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金融中心。</w:t>
      </w:r>
      <w:bookmarkStart w:id="113" w:name="_Hlk59985532"/>
      <w:r>
        <w:rPr>
          <w:rFonts w:hint="eastAsia" w:ascii="Times New Roman" w:hAnsi="Times New Roman" w:eastAsia="仿宋_GB2312"/>
          <w:sz w:val="32"/>
          <w:szCs w:val="32"/>
        </w:rPr>
        <w:t>依托</w:t>
      </w:r>
      <w:bookmarkEnd w:id="113"/>
      <w:r>
        <w:rPr>
          <w:rFonts w:hint="eastAsia" w:ascii="Times New Roman" w:hAnsi="Times New Roman" w:eastAsia="仿宋_GB2312"/>
          <w:sz w:val="32"/>
          <w:szCs w:val="32"/>
        </w:rPr>
        <w:t>东岭区域建设集办公、金融、商务、文化、商业、居住等多种功能于一体的宝鸡新型城市中心。</w:t>
      </w:r>
    </w:p>
    <w:p w14:paraId="06C87D0B">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文化艺术中心。</w:t>
      </w:r>
      <w:r>
        <w:rPr>
          <w:rFonts w:hint="eastAsia" w:ascii="Times New Roman" w:hAnsi="Times New Roman" w:eastAsia="仿宋_GB2312"/>
          <w:sz w:val="32"/>
          <w:szCs w:val="32"/>
        </w:rPr>
        <w:t>依托现有“五馆合一”的文化艺术中心、宝鸡大剧院、广电中心，重点提升周边环境，完善配套设施建设，常态化开展高品质文艺演出。</w:t>
      </w:r>
    </w:p>
    <w:p w14:paraId="28EB140D">
      <w:pPr>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商贸服务中心。</w:t>
      </w:r>
      <w:r>
        <w:rPr>
          <w:rFonts w:hint="eastAsia" w:ascii="Times New Roman" w:hAnsi="Times New Roman" w:eastAsia="仿宋_GB2312"/>
          <w:sz w:val="32"/>
          <w:szCs w:val="32"/>
        </w:rPr>
        <w:t>建设新福路、陈仓园、代家湾、卧龙寺等片区商贸服务中心，完善市级现代商贸服务。</w:t>
      </w:r>
    </w:p>
    <w:p w14:paraId="619F8EAD">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科教中心。</w:t>
      </w:r>
      <w:r>
        <w:rPr>
          <w:rFonts w:hint="eastAsia" w:ascii="Times New Roman" w:hAnsi="Times New Roman" w:eastAsia="仿宋_GB2312"/>
          <w:sz w:val="32"/>
          <w:szCs w:val="32"/>
        </w:rPr>
        <w:t>蟠龙高新区建设科学城、大学城，打造宝鸡市科创中心、教育培训中心。</w:t>
      </w:r>
    </w:p>
    <w:p w14:paraId="37ADCB81">
      <w:pPr>
        <w:widowControl w:val="0"/>
        <w:adjustRightInd w:val="0"/>
        <w:snapToGrid w:val="0"/>
        <w:spacing w:line="560" w:lineRule="exact"/>
        <w:ind w:firstLine="643" w:firstLineChars="200"/>
        <w:jc w:val="both"/>
        <w:rPr>
          <w:rFonts w:ascii="Times New Roman" w:hAnsi="Times New Roman" w:eastAsia="仿宋_GB2312"/>
          <w:b/>
          <w:sz w:val="32"/>
          <w:szCs w:val="32"/>
        </w:rPr>
      </w:pPr>
      <w:r>
        <w:rPr>
          <w:rFonts w:hint="eastAsia" w:ascii="Times New Roman" w:hAnsi="Times New Roman" w:eastAsia="仿宋_GB2312"/>
          <w:b/>
          <w:sz w:val="32"/>
          <w:szCs w:val="32"/>
        </w:rPr>
        <w:t>医疗康养中心。</w:t>
      </w:r>
      <w:r>
        <w:rPr>
          <w:rFonts w:hint="eastAsia" w:ascii="Times New Roman" w:hAnsi="Times New Roman" w:eastAsia="仿宋_GB2312"/>
          <w:sz w:val="32"/>
          <w:szCs w:val="32"/>
        </w:rPr>
        <w:t>蟠龙高新区建设“医养融合”式的医疗康养中心。</w:t>
      </w:r>
    </w:p>
    <w:p w14:paraId="3685E036">
      <w:pPr>
        <w:rPr>
          <w:rFonts w:ascii="Times New Roman" w:hAnsi="Times New Roman"/>
        </w:rPr>
      </w:pPr>
      <w:bookmarkStart w:id="114" w:name="_Toc50710096"/>
      <w:bookmarkStart w:id="115" w:name="_Toc42610329"/>
      <w:bookmarkStart w:id="116" w:name="_Toc49276055"/>
    </w:p>
    <w:p w14:paraId="46C86ABC">
      <w:pPr>
        <w:pStyle w:val="8"/>
        <w:sectPr>
          <w:pgSz w:w="11907" w:h="16840"/>
          <w:pgMar w:top="1440" w:right="1474" w:bottom="1440" w:left="1588" w:header="851" w:footer="992" w:gutter="0"/>
          <w:cols w:space="425" w:num="1"/>
          <w:docGrid w:linePitch="312" w:charSpace="0"/>
        </w:sectPr>
      </w:pPr>
    </w:p>
    <w:p w14:paraId="31126CF4">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17" w:name="_Toc50988312"/>
      <w:bookmarkStart w:id="118" w:name="_Toc53863294"/>
      <w:bookmarkStart w:id="119" w:name="_Toc50988060"/>
      <w:bookmarkStart w:id="120" w:name="_Toc66442956"/>
      <w:r>
        <w:rPr>
          <w:rFonts w:hint="eastAsia" w:eastAsia="方正小标宋简体"/>
          <w:b w:val="0"/>
          <w:iCs/>
          <w:kern w:val="2"/>
          <w:sz w:val="36"/>
          <w:szCs w:val="36"/>
        </w:rPr>
        <w:t>做强做优实体经济，打造先进制造业新</w:t>
      </w:r>
      <w:bookmarkEnd w:id="114"/>
      <w:bookmarkEnd w:id="115"/>
      <w:bookmarkEnd w:id="116"/>
      <w:bookmarkEnd w:id="117"/>
      <w:bookmarkEnd w:id="118"/>
      <w:bookmarkEnd w:id="119"/>
      <w:r>
        <w:rPr>
          <w:rFonts w:hint="eastAsia" w:eastAsia="方正小标宋简体"/>
          <w:b w:val="0"/>
          <w:iCs/>
          <w:kern w:val="2"/>
          <w:sz w:val="36"/>
          <w:szCs w:val="36"/>
        </w:rPr>
        <w:t>高地</w:t>
      </w:r>
      <w:bookmarkEnd w:id="120"/>
    </w:p>
    <w:p w14:paraId="0E4B19A5">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深入贯彻制造强国战略，严格按照省市要求，完善先进制造业创新体系、组织体系，补短板锻长板，按照产业“集群化发展、园区化承载”总体思路，推动优势装备制造工业转型发展，培育壮大</w:t>
      </w:r>
      <w:r>
        <w:rPr>
          <w:rFonts w:hint="eastAsia" w:ascii="仿宋_GB2312" w:hAnsi="仿宋_GB2312" w:eastAsia="仿宋_GB2312" w:cs="仿宋_GB2312"/>
          <w:sz w:val="32"/>
          <w:szCs w:val="32"/>
          <w:lang w:eastAsia="zh-CN"/>
        </w:rPr>
        <w:t>战略性</w:t>
      </w:r>
      <w:r>
        <w:rPr>
          <w:rFonts w:hint="eastAsia" w:ascii="仿宋_GB2312" w:hAnsi="仿宋_GB2312" w:eastAsia="仿宋_GB2312" w:cs="仿宋_GB2312"/>
          <w:sz w:val="32"/>
          <w:szCs w:val="32"/>
        </w:rPr>
        <w:t>新兴产业，打好产业基础高级化、产业链现代化攻坚战。到</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2</w:t>
      </w:r>
      <w:r>
        <w:rPr>
          <w:rFonts w:ascii="仿宋_GB2312" w:hAnsi="仿宋_GB2312" w:eastAsia="仿宋_GB2312" w:cs="仿宋_GB2312"/>
          <w:sz w:val="32"/>
          <w:szCs w:val="32"/>
        </w:rPr>
        <w:t>5年</w:t>
      </w:r>
      <w:r>
        <w:rPr>
          <w:rFonts w:hint="eastAsia" w:ascii="仿宋_GB2312" w:hAnsi="仿宋_GB2312" w:eastAsia="仿宋_GB2312" w:cs="仿宋_GB2312"/>
          <w:sz w:val="32"/>
          <w:szCs w:val="32"/>
        </w:rPr>
        <w:t>，先进制造业占地区生产总值2</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%以上，先进制造业高质量发展新高地格局初步形成。到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建成先进制造业高质量发展新高地，实现新型工业化发展</w:t>
      </w:r>
      <w:r>
        <w:rPr>
          <w:rFonts w:ascii="仿宋_GB2312" w:hAnsi="仿宋_GB2312" w:eastAsia="仿宋_GB2312" w:cs="仿宋_GB2312"/>
          <w:sz w:val="32"/>
          <w:szCs w:val="32"/>
        </w:rPr>
        <w:t>目标。</w:t>
      </w:r>
    </w:p>
    <w:p w14:paraId="3FAD110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1" w:name="_Toc66442957"/>
      <w:r>
        <w:rPr>
          <w:rFonts w:hint="eastAsia" w:ascii="Times New Roman" w:hAnsi="Times New Roman" w:cs="宋体"/>
          <w:bCs w:val="0"/>
          <w:sz w:val="32"/>
          <w:szCs w:val="24"/>
        </w:rPr>
        <w:t>第一节 壮大传统优势工业</w:t>
      </w:r>
      <w:bookmarkEnd w:id="121"/>
    </w:p>
    <w:p w14:paraId="5D605321">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推进骨干企业转型升级</w:t>
      </w:r>
    </w:p>
    <w:p w14:paraId="7C03B828">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发挥轨道交通、机床工具制造、石油机械、叉车及零配件等装备制造工业优势，全面实施制造业转型升级计划，攻关重要产品和关键核心技术，以工业基础高级化、产业链现代化为引领，推动制造业高质量发展，打造配套宝鸡、服务陕西、辐射国内海外的先进制造业新高地。</w:t>
      </w:r>
    </w:p>
    <w:p w14:paraId="3AD8BDC9">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系统推进创新转型发展。</w:t>
      </w:r>
      <w:r>
        <w:rPr>
          <w:rFonts w:hint="eastAsia" w:ascii="Times New Roman" w:hAnsi="Times New Roman" w:eastAsia="仿宋_GB2312" w:cs="仿宋_GB2312"/>
          <w:sz w:val="32"/>
          <w:szCs w:val="32"/>
        </w:rPr>
        <w:t>实施创新驱动，加大研发投入，重点推进石油装备、轨道交通、机床工具、智能制造等工业科技攻关，依托区内现有中、省、市级工程技术研发中心，建设创新平台，增强产业链核心竞争力。推进两链融合，系统实施石油装备、轨道交通装备、机床关键零部件等骨干工业调整产业链供应链布局，提升宝石机械、中车时代、合力叉车等龙头企业产业链整合能力。积极开展军民两用技术联合攻关，支持军民技术相互有效利用，推进部分高端军用技术成果向民用产品转移转化，鼓励具备条件企业取得“民参军”资质认证，参与军用产品研发生产，策划布局军民融合重大项目。</w:t>
      </w:r>
    </w:p>
    <w:p w14:paraId="78D9C6B0">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推动数字化赋能。</w:t>
      </w:r>
      <w:r>
        <w:rPr>
          <w:rFonts w:hint="eastAsia" w:ascii="Times New Roman" w:hAnsi="Times New Roman" w:eastAsia="仿宋_GB2312" w:cs="仿宋_GB2312"/>
          <w:sz w:val="32"/>
          <w:szCs w:val="32"/>
        </w:rPr>
        <w:t>加快开展“</w:t>
      </w:r>
      <w:r>
        <w:rPr>
          <w:rFonts w:ascii="Times New Roman" w:hAnsi="Times New Roman" w:eastAsia="仿宋_GB2312"/>
          <w:sz w:val="32"/>
          <w:szCs w:val="32"/>
        </w:rPr>
        <w:t>5G+</w:t>
      </w:r>
      <w:r>
        <w:rPr>
          <w:rFonts w:hint="eastAsia" w:ascii="Times New Roman" w:hAnsi="Times New Roman" w:eastAsia="仿宋_GB2312" w:cs="仿宋_GB2312"/>
          <w:sz w:val="32"/>
          <w:szCs w:val="32"/>
        </w:rPr>
        <w:t>工业联网”应用示范，推动制造业向数字化、网络化、智能化升级，支持石油钻采、机床工具、轨道交通等大中小工业企业应用智能信息技术，率先建成数字化车间、智能化生产线，实现设备换芯、生产换线、机器换人新型工业生产模式，培育高端智能制造产业。到</w:t>
      </w:r>
      <w:r>
        <w:rPr>
          <w:rFonts w:ascii="Times New Roman" w:hAnsi="Times New Roman" w:eastAsia="仿宋_GB2312" w:cs="仿宋_GB2312"/>
          <w:sz w:val="32"/>
          <w:szCs w:val="32"/>
        </w:rPr>
        <w:t>2025年，主要行业大中型企业数字化设计工具普及率达65%。</w:t>
      </w:r>
    </w:p>
    <w:p w14:paraId="41E1CCC2">
      <w:pPr>
        <w:widowControl w:val="0"/>
        <w:adjustRightInd w:val="0"/>
        <w:snapToGrid w:val="0"/>
        <w:spacing w:line="560" w:lineRule="exact"/>
        <w:ind w:firstLine="643" w:firstLineChars="200"/>
        <w:jc w:val="both"/>
        <w:rPr>
          <w:rFonts w:ascii="Times New Roman" w:hAnsi="Times New Roman" w:eastAsia="仿宋_GB2312"/>
          <w:bCs/>
          <w:sz w:val="32"/>
          <w:szCs w:val="32"/>
        </w:rPr>
      </w:pPr>
      <w:r>
        <w:rPr>
          <w:rFonts w:hint="eastAsia" w:ascii="Times New Roman" w:hAnsi="Times New Roman" w:eastAsia="仿宋_GB2312"/>
          <w:b/>
          <w:bCs/>
          <w:sz w:val="32"/>
          <w:szCs w:val="32"/>
        </w:rPr>
        <w:t>大力发展服务型制造。</w:t>
      </w:r>
      <w:r>
        <w:rPr>
          <w:rFonts w:hint="eastAsia" w:ascii="Times New Roman" w:hAnsi="Times New Roman" w:eastAsia="仿宋_GB2312"/>
          <w:bCs/>
          <w:sz w:val="32"/>
          <w:szCs w:val="32"/>
        </w:rPr>
        <w:t>推广“陕鼓模式”，引导企业延伸服务链条，支持制造企业向产业链上下游环节拓展，向高附加值攀升发展服务环节，不断增加服务要素在投入和产出中的比重，从加工组装产品为主向“制造</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转型，从单纯出售产品为主向</w:t>
      </w:r>
      <w:r>
        <w:rPr>
          <w:rFonts w:ascii="Times New Roman" w:hAnsi="Times New Roman" w:eastAsia="仿宋_GB2312"/>
          <w:bCs/>
          <w:sz w:val="32"/>
          <w:szCs w:val="32"/>
        </w:rPr>
        <w:t>“</w:t>
      </w:r>
      <w:r>
        <w:rPr>
          <w:rFonts w:hint="eastAsia" w:ascii="Times New Roman" w:hAnsi="Times New Roman" w:eastAsia="仿宋_GB2312"/>
          <w:bCs/>
          <w:sz w:val="32"/>
          <w:szCs w:val="32"/>
        </w:rPr>
        <w:t>产品</w:t>
      </w:r>
      <w:r>
        <w:rPr>
          <w:rFonts w:ascii="Times New Roman" w:hAnsi="Times New Roman" w:eastAsia="仿宋_GB2312"/>
          <w:bCs/>
          <w:sz w:val="32"/>
          <w:szCs w:val="32"/>
        </w:rPr>
        <w:t>+</w:t>
      </w:r>
      <w:r>
        <w:rPr>
          <w:rFonts w:hint="eastAsia" w:ascii="Times New Roman" w:hAnsi="Times New Roman" w:eastAsia="仿宋_GB2312"/>
          <w:bCs/>
          <w:sz w:val="32"/>
          <w:szCs w:val="32"/>
        </w:rPr>
        <w:t>服务</w:t>
      </w:r>
      <w:r>
        <w:rPr>
          <w:rFonts w:ascii="Times New Roman" w:hAnsi="Times New Roman" w:eastAsia="仿宋_GB2312"/>
          <w:bCs/>
          <w:sz w:val="32"/>
          <w:szCs w:val="32"/>
        </w:rPr>
        <w:t>”</w:t>
      </w:r>
      <w:r>
        <w:rPr>
          <w:rFonts w:hint="eastAsia" w:ascii="Times New Roman" w:hAnsi="Times New Roman" w:eastAsia="仿宋_GB2312"/>
          <w:bCs/>
          <w:sz w:val="32"/>
          <w:szCs w:val="32"/>
        </w:rPr>
        <w:t>转变。推动生产服务型企业创新服务供给，提升制造业服务化水平和全产业链价值，推进先进制造业和现代服务业融合发展。加强政策引导，加快服务模式创新、技术创新和管理创新，延伸和提升价值链，形成经济发展新的增长点。</w:t>
      </w:r>
    </w:p>
    <w:p w14:paraId="4F13BD0A">
      <w:pPr>
        <w:numPr>
          <w:ilvl w:val="0"/>
          <w:numId w:val="5"/>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cs="楷体"/>
          <w:b/>
          <w:bCs/>
          <w:sz w:val="32"/>
          <w:szCs w:val="32"/>
        </w:rPr>
        <w:t>建设优势产业集群</w:t>
      </w:r>
    </w:p>
    <w:p w14:paraId="2025E59C">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bCs/>
          <w:sz w:val="32"/>
          <w:szCs w:val="32"/>
        </w:rPr>
        <w:t>建设全国石油钻采装备研发制造集群。</w:t>
      </w:r>
      <w:r>
        <w:rPr>
          <w:rFonts w:hint="eastAsia" w:ascii="仿宋_GB2312" w:hAnsi="仿宋_GB2312" w:eastAsia="仿宋_GB2312" w:cs="仿宋_GB2312"/>
          <w:sz w:val="32"/>
          <w:szCs w:val="32"/>
        </w:rPr>
        <w:t>建设“中国·宝鸡石油装备制造基地”，加快推进宝石机械的陆地钻机、极地钻机、成套海洋钻井平台智能制造，集中力量攻克井控、固控、电气等控制系统软件开发，持续提升泥浆泵、压裂设备及PDC钻头等产品研发水平；支持振兴石油、兴元石油加快石油钻采配件的研发制造，提升配套水平和能力；支持宝昊机械、石油矿山加快石油配套产品对外出口，扩大经营领域和范围。</w:t>
      </w:r>
    </w:p>
    <w:p w14:paraId="000C76B7">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建设全国轨道工程车辆研发制造集群。</w:t>
      </w:r>
      <w:r>
        <w:rPr>
          <w:rFonts w:hint="eastAsia" w:ascii="Times New Roman" w:hAnsi="Times New Roman" w:eastAsia="仿宋_GB2312" w:cs="仿宋_GB2312"/>
          <w:sz w:val="32"/>
          <w:szCs w:val="32"/>
        </w:rPr>
        <w:t>提升高端轨道工程车辆集成设计、制造水平，前瞻性</w:t>
      </w:r>
      <w:r>
        <w:rPr>
          <w:rFonts w:hint="eastAsia" w:ascii="Times New Roman" w:hAnsi="Times New Roman" w:eastAsia="仿宋_GB2312" w:cs="仿宋_GB2312"/>
          <w:sz w:val="32"/>
          <w:szCs w:val="32"/>
          <w:lang w:eastAsia="zh-CN"/>
        </w:rPr>
        <w:t>开拓</w:t>
      </w:r>
      <w:r>
        <w:rPr>
          <w:rFonts w:hint="eastAsia" w:ascii="Times New Roman" w:hAnsi="Times New Roman" w:eastAsia="仿宋_GB2312" w:cs="仿宋_GB2312"/>
          <w:sz w:val="32"/>
          <w:szCs w:val="32"/>
        </w:rPr>
        <w:t>载人客车技术，聚焦智能、快速、重载、可靠、绿色产品，为用户提供全生命周期解决方案。积极对接企业需求，鼓励企业扩产技改，强化轨道工程车辆关键零部件配套，全面提升本区配套率。中车时代重点发展轨道工程</w:t>
      </w:r>
      <w:r>
        <w:rPr>
          <w:rFonts w:hint="eastAsia" w:ascii="Times New Roman" w:hAnsi="Times New Roman" w:eastAsia="仿宋_GB2312" w:cs="仿宋_GB2312"/>
          <w:spacing w:val="-4"/>
          <w:sz w:val="32"/>
          <w:szCs w:val="32"/>
        </w:rPr>
        <w:t>车系列产品，研发双动力内燃机车、轨道探伤车和接触网检修车。支持宝鸡机车检修厂、中能车辆建设国家轨道客车、工程车辆</w:t>
      </w:r>
      <w:r>
        <w:rPr>
          <w:rFonts w:hint="eastAsia" w:ascii="Times New Roman" w:hAnsi="Times New Roman" w:eastAsia="仿宋_GB2312" w:cs="仿宋_GB2312"/>
          <w:spacing w:val="-4"/>
          <w:sz w:val="32"/>
          <w:szCs w:val="32"/>
          <w:lang w:eastAsia="zh-CN"/>
        </w:rPr>
        <w:t>检测</w:t>
      </w:r>
      <w:r>
        <w:rPr>
          <w:rFonts w:hint="eastAsia" w:ascii="Times New Roman" w:hAnsi="Times New Roman" w:eastAsia="仿宋_GB2312" w:cs="仿宋_GB2312"/>
          <w:spacing w:val="-4"/>
          <w:sz w:val="32"/>
          <w:szCs w:val="32"/>
        </w:rPr>
        <w:t>维修中心，强化中铁宝工、宝西铁路等轨道工程车辆零部件配套。积极推进企业扩产技改，扩大配套领域和规模。坚持以企招商，积极对接高端铸造、精密机械加工、电气控制装置龙头企业，引进关键零部件生产企业落户。</w:t>
      </w:r>
    </w:p>
    <w:p w14:paraId="0C7EF10C">
      <w:pPr>
        <w:widowControl w:val="0"/>
        <w:adjustRightInd w:val="0"/>
        <w:snapToGrid w:val="0"/>
        <w:spacing w:line="560" w:lineRule="exact"/>
        <w:ind w:firstLine="643" w:firstLineChars="200"/>
        <w:jc w:val="both"/>
        <w:rPr>
          <w:rFonts w:ascii="Times New Roman" w:hAnsi="Times New Roman" w:eastAsia="仿宋_GB2312"/>
          <w:b/>
          <w:bCs/>
          <w:sz w:val="32"/>
          <w:szCs w:val="32"/>
        </w:rPr>
      </w:pPr>
      <w:r>
        <w:rPr>
          <w:rFonts w:hint="eastAsia" w:ascii="Times New Roman" w:hAnsi="Times New Roman" w:eastAsia="仿宋_GB2312" w:cs="仿宋_GB2312"/>
          <w:b/>
          <w:bCs/>
          <w:sz w:val="32"/>
          <w:szCs w:val="32"/>
        </w:rPr>
        <w:t>建设全国机床工具关键零部件配套集群。</w:t>
      </w:r>
      <w:r>
        <w:rPr>
          <w:rFonts w:hint="eastAsia" w:ascii="Times New Roman" w:hAnsi="Times New Roman" w:eastAsia="仿宋_GB2312" w:cs="仿宋_GB2312"/>
          <w:sz w:val="32"/>
          <w:szCs w:val="32"/>
        </w:rPr>
        <w:t>明晰机床工具产业“配套宝鸡、辐射全国”发展定位，坚持“链条延伸、配套提质、产业聚集”发展思路，建立健全机床工具配套产业链条。重点支持海力特、广环机床等整机生产企业加大系统集成和软件开发，发展智能机床、高精密机床和复合机床；支持产业链中游忠诚刃具、埃德机床等企业加大功能部件、数控系统、驱动系统等机床关键零部件开发；支持忠诚铸锻、忠诚铸造等产业链上游企业锻件、铸件产品质量，由粗加工配套向精密铸锻件配套转型；积极对接引进德国玛帕公司等国内外企业，引进机床刀具项目落户。</w:t>
      </w:r>
    </w:p>
    <w:p w14:paraId="793D945C">
      <w:pPr>
        <w:widowControl w:val="0"/>
        <w:spacing w:line="600" w:lineRule="exact"/>
        <w:ind w:firstLine="643" w:firstLineChars="200"/>
        <w:rPr>
          <w:rFonts w:ascii="Times New Roman" w:hAnsi="Times New Roman" w:eastAsia="仿宋_GB2312"/>
          <w:sz w:val="32"/>
          <w:szCs w:val="32"/>
        </w:rPr>
      </w:pPr>
      <w:r>
        <w:rPr>
          <w:rFonts w:hint="eastAsia" w:ascii="Times New Roman" w:hAnsi="Times New Roman" w:eastAsia="仿宋_GB2312" w:cs="仿宋_GB2312"/>
          <w:b/>
          <w:bCs/>
          <w:sz w:val="32"/>
          <w:szCs w:val="32"/>
        </w:rPr>
        <w:t>建设中西部叉车及零部件研发制造集群。</w:t>
      </w:r>
      <w:r>
        <w:rPr>
          <w:rFonts w:hint="eastAsia" w:ascii="Times New Roman" w:hAnsi="Times New Roman" w:eastAsia="仿宋_GB2312" w:cs="仿宋_GB2312"/>
          <w:sz w:val="32"/>
          <w:szCs w:val="32"/>
        </w:rPr>
        <w:t>支持宝鸡合力叉车加快产品结构调整，以新能源叉车、特种搬运车等整机研发制造为重点，大力建设数字化车间、智能化工厂；支持宝鸡杭叉加快“退城入园”步伐，全面改造提升合力达、赫威特、诚志液压等叉车系列配件的技术装备；推动企业围绕叉车关键零部件领域，持续做精做优零部件产品，由普通叉车配件向高精尖关键零部件方向转型。</w:t>
      </w:r>
    </w:p>
    <w:p w14:paraId="336B8767">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建设区域特色食品产业制造集群。</w:t>
      </w:r>
      <w:r>
        <w:rPr>
          <w:rFonts w:hint="eastAsia" w:ascii="Times New Roman" w:hAnsi="Times New Roman" w:eastAsia="仿宋_GB2312" w:cs="仿宋_GB2312"/>
          <w:sz w:val="32"/>
          <w:szCs w:val="32"/>
        </w:rPr>
        <w:t>打造宝鸡擀面皮产业品牌，建设健康食品产业园，强力推进宝鸡擀面皮名优品牌落地园区，壮大擀面皮“小食品大产业”规模，打造面皮、饺子、锅盔、醋粉等西府健康美食谱系。积极推进实施天海山泉全自动灌装线、得力康乳业智能化乳制品加工生产线技改。加快推进瑞旗食品搬迁改造项目，鼓励维尔康公司加大食品加工孵化基地投资力度，进一步完善基础设施，优化招商方案，吸引本地有创业意愿、创新基础的人才入园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F0BF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FD26591">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2 </w:t>
            </w:r>
            <w:r>
              <w:rPr>
                <w:rFonts w:hint="eastAsia" w:ascii="Times New Roman" w:hAnsi="Times New Roman" w:eastAsia="黑体"/>
                <w:sz w:val="28"/>
                <w:szCs w:val="28"/>
              </w:rPr>
              <w:t>制造业高质量发展重大项目</w:t>
            </w:r>
          </w:p>
        </w:tc>
      </w:tr>
      <w:tr w14:paraId="72A4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78018EB">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1</w:t>
            </w:r>
            <w:r>
              <w:rPr>
                <w:rFonts w:hint="eastAsia" w:ascii="仿宋_GB2312" w:hAnsi="仿宋_GB2312" w:eastAsia="仿宋_GB2312" w:cs="仿宋_GB2312"/>
                <w:b/>
                <w:sz w:val="28"/>
                <w:szCs w:val="28"/>
              </w:rPr>
              <w:t>.金台区深海石油钻探设备研发项目。</w:t>
            </w:r>
            <w:r>
              <w:rPr>
                <w:rFonts w:hint="eastAsia" w:ascii="仿宋_GB2312" w:hAnsi="仿宋_GB2312" w:eastAsia="仿宋_GB2312" w:cs="仿宋_GB2312"/>
                <w:sz w:val="28"/>
                <w:szCs w:val="28"/>
              </w:rPr>
              <w:t>在石油厂区，依托深海钻井平台、钻机、平台设备补偿系统、安全防护及监测系统等技术研发，建设科研成果产业转化基地，投资约4亿元。</w:t>
            </w:r>
          </w:p>
          <w:p w14:paraId="2CEA485A">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.金台区叉车产业园。</w:t>
            </w:r>
            <w:r>
              <w:rPr>
                <w:rFonts w:hint="eastAsia" w:ascii="仿宋_GB2312" w:hAnsi="仿宋_GB2312" w:eastAsia="仿宋_GB2312" w:cs="仿宋_GB2312"/>
                <w:sz w:val="28"/>
                <w:szCs w:val="28"/>
              </w:rPr>
              <w:t>新建厂房，宝鸡杭叉公司整体搬迁，投资约2.2亿元。</w:t>
            </w:r>
          </w:p>
          <w:p w14:paraId="35C71875">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3</w:t>
            </w:r>
            <w:r>
              <w:rPr>
                <w:rFonts w:hint="eastAsia" w:ascii="仿宋_GB2312" w:hAnsi="仿宋_GB2312" w:eastAsia="仿宋_GB2312" w:cs="仿宋_GB2312"/>
                <w:b/>
                <w:bCs/>
                <w:sz w:val="28"/>
                <w:szCs w:val="28"/>
              </w:rPr>
              <w:t>.宝鸡轨道交通配套产业园项目。</w:t>
            </w:r>
            <w:r>
              <w:rPr>
                <w:rFonts w:hint="eastAsia" w:ascii="仿宋_GB2312" w:hAnsi="仿宋_GB2312" w:eastAsia="仿宋_GB2312" w:cs="仿宋_GB2312"/>
                <w:sz w:val="28"/>
                <w:szCs w:val="28"/>
              </w:rPr>
              <w:t>建设铁路线、工作台位、生产车间等。配套建设研发实验室、员工培训中心投资约2.7亿元。</w:t>
            </w:r>
          </w:p>
          <w:p w14:paraId="76C572C8">
            <w:pPr>
              <w:adjustRightInd w:val="0"/>
              <w:snapToGrid w:val="0"/>
              <w:spacing w:line="400" w:lineRule="exact"/>
              <w:ind w:firstLine="562" w:firstLineChars="200"/>
              <w:rPr>
                <w:rFonts w:ascii="仿宋_GB2312" w:hAnsi="仿宋_GB2312" w:eastAsia="仿宋_GB2312" w:cs="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.金台区新能源叉车及智能化提升智能化改造项目。</w:t>
            </w:r>
            <w:r>
              <w:rPr>
                <w:rFonts w:hint="eastAsia" w:ascii="仿宋_GB2312" w:hAnsi="仿宋_GB2312" w:eastAsia="仿宋_GB2312" w:cs="仿宋_GB2312"/>
                <w:sz w:val="28"/>
                <w:szCs w:val="28"/>
              </w:rPr>
              <w:t>增加焊接生产线，对瓶颈工序进行填平补齐，投资约1.25亿元。</w:t>
            </w:r>
          </w:p>
          <w:p w14:paraId="27631EA0">
            <w:pPr>
              <w:pStyle w:val="8"/>
              <w:ind w:firstLine="562"/>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.金河工业园汽车轻量化（零部件）产业园。</w:t>
            </w:r>
            <w:r>
              <w:rPr>
                <w:rFonts w:hint="eastAsia" w:ascii="仿宋_GB2312" w:hAnsi="仿宋_GB2312" w:eastAsia="仿宋_GB2312" w:cs="仿宋_GB2312"/>
                <w:sz w:val="28"/>
                <w:szCs w:val="28"/>
              </w:rPr>
              <w:t>建设标准化厂房引进汽车零部件制造企业，投资约2亿元。</w:t>
            </w:r>
          </w:p>
          <w:p w14:paraId="4F86DFD3">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6.金河工业园机床配套产业园。</w:t>
            </w:r>
            <w:r>
              <w:rPr>
                <w:rFonts w:hint="eastAsia" w:ascii="仿宋_GB2312" w:hAnsi="仿宋_GB2312" w:eastAsia="仿宋_GB2312" w:cs="仿宋_GB2312"/>
                <w:sz w:val="28"/>
                <w:szCs w:val="28"/>
              </w:rPr>
              <w:t>以忠诚集团为依托，招引产业链关键部件生产企业，搭建机床配套产业园，投资约3亿元。</w:t>
            </w:r>
          </w:p>
          <w:p w14:paraId="1698B88A">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7.蟠龙高新区科技创新中心。</w:t>
            </w:r>
            <w:r>
              <w:rPr>
                <w:rFonts w:hint="eastAsia" w:ascii="仿宋_GB2312" w:hAnsi="仿宋_GB2312" w:eastAsia="仿宋_GB2312" w:cs="仿宋_GB2312"/>
                <w:sz w:val="28"/>
                <w:szCs w:val="28"/>
              </w:rPr>
              <w:t>建设智慧化展厅、科技大市场、创业孵化器、智能化咨询及新科技体验等，投资约5亿元。</w:t>
            </w:r>
          </w:p>
          <w:p w14:paraId="1E42EB24">
            <w:pPr>
              <w:adjustRightInd w:val="0"/>
              <w:snapToGrid w:val="0"/>
              <w:spacing w:line="400" w:lineRule="exact"/>
              <w:ind w:firstLine="562" w:firstLineChars="200"/>
              <w:rPr>
                <w:rFonts w:ascii="仿宋_GB2312" w:hAnsi="仿宋_GB2312" w:eastAsia="仿宋_GB2312" w:cs="仿宋_GB2312"/>
                <w:sz w:val="28"/>
                <w:szCs w:val="28"/>
              </w:rPr>
            </w:pPr>
            <w:r>
              <w:rPr>
                <w:rFonts w:hint="eastAsia" w:ascii="仿宋_GB2312" w:hAnsi="仿宋_GB2312" w:eastAsia="仿宋_GB2312" w:cs="仿宋_GB2312"/>
                <w:b/>
                <w:sz w:val="28"/>
                <w:szCs w:val="28"/>
              </w:rPr>
              <w:t>8.金台区煤层气电驱压裂泵成套系统开发。</w:t>
            </w:r>
            <w:r>
              <w:rPr>
                <w:rFonts w:hint="eastAsia" w:ascii="仿宋_GB2312" w:hAnsi="仿宋_GB2312" w:eastAsia="仿宋_GB2312" w:cs="仿宋_GB2312"/>
                <w:sz w:val="28"/>
                <w:szCs w:val="28"/>
              </w:rPr>
              <w:t>建成煤层气电驱压裂泵成套系统生产线，投资约0.5亿元。</w:t>
            </w:r>
          </w:p>
        </w:tc>
      </w:tr>
    </w:tbl>
    <w:p w14:paraId="4AA7036F">
      <w:pPr>
        <w:widowControl w:val="0"/>
        <w:adjustRightInd w:val="0"/>
        <w:snapToGrid w:val="0"/>
        <w:ind w:firstLine="562" w:firstLineChars="200"/>
        <w:jc w:val="both"/>
        <w:rPr>
          <w:rFonts w:ascii="Times New Roman" w:hAnsi="Times New Roman" w:eastAsia="仿宋_GB2312" w:cs="仿宋_GB2312"/>
          <w:b/>
          <w:sz w:val="28"/>
          <w:szCs w:val="28"/>
        </w:rPr>
      </w:pPr>
      <w:r>
        <w:rPr>
          <w:rFonts w:hint="eastAsia" w:ascii="Times New Roman" w:hAnsi="Times New Roman" w:eastAsia="仿宋_GB2312" w:cs="仿宋_GB2312"/>
          <w:b/>
          <w:sz w:val="28"/>
          <w:szCs w:val="28"/>
        </w:rPr>
        <w:t>注：本规划所有专栏中项目投资均为“十四五”期间投资。</w:t>
      </w:r>
    </w:p>
    <w:p w14:paraId="4F4914B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2" w:name="_Toc66442958"/>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积极培育战略性新兴产业</w:t>
      </w:r>
      <w:bookmarkEnd w:id="122"/>
    </w:p>
    <w:p w14:paraId="0BFC0DDB">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立足现实基础和未来潜力，积极促进战略性新兴产业发展，重点培育新材料、电子信息、大数据3个产业集群，适时发展新能源、节能环保等产业。到2025年，全区战略性新兴产业增加值占地区生产总值</w:t>
      </w:r>
      <w:r>
        <w:rPr>
          <w:rFonts w:ascii="仿宋_GB2312" w:hAnsi="仿宋_GB2312" w:eastAsia="仿宋_GB2312" w:cs="仿宋_GB2312"/>
          <w:sz w:val="32"/>
          <w:szCs w:val="32"/>
        </w:rPr>
        <w:t>20</w:t>
      </w:r>
      <w:r>
        <w:rPr>
          <w:rFonts w:hint="eastAsia" w:ascii="仿宋_GB2312" w:hAnsi="仿宋_GB2312" w:eastAsia="仿宋_GB2312" w:cs="仿宋_GB2312"/>
          <w:sz w:val="32"/>
          <w:szCs w:val="32"/>
        </w:rPr>
        <w:t>%以上，高新技术产业产值占工业总产值比重的3</w:t>
      </w:r>
      <w:r>
        <w:rPr>
          <w:rFonts w:ascii="仿宋_GB2312" w:hAnsi="仿宋_GB2312" w:eastAsia="仿宋_GB2312" w:cs="仿宋_GB2312"/>
          <w:sz w:val="32"/>
          <w:szCs w:val="32"/>
        </w:rPr>
        <w:t>0</w:t>
      </w:r>
      <w:r>
        <w:rPr>
          <w:rFonts w:hint="eastAsia" w:ascii="仿宋_GB2312" w:hAnsi="仿宋_GB2312" w:eastAsia="仿宋_GB2312" w:cs="仿宋_GB2312"/>
          <w:sz w:val="32"/>
          <w:szCs w:val="32"/>
        </w:rPr>
        <w:t>%左右。到20</w:t>
      </w:r>
      <w:r>
        <w:rPr>
          <w:rFonts w:ascii="仿宋_GB2312" w:hAnsi="仿宋_GB2312" w:eastAsia="仿宋_GB2312" w:cs="仿宋_GB2312"/>
          <w:sz w:val="32"/>
          <w:szCs w:val="32"/>
        </w:rPr>
        <w:t>3</w:t>
      </w:r>
      <w:r>
        <w:rPr>
          <w:rFonts w:hint="eastAsia" w:ascii="仿宋_GB2312" w:hAnsi="仿宋_GB2312" w:eastAsia="仿宋_GB2312" w:cs="仿宋_GB2312"/>
          <w:sz w:val="32"/>
          <w:szCs w:val="32"/>
        </w:rPr>
        <w:t>5年，战略性新兴产业成为带动全区经济发展的主引擎。</w:t>
      </w:r>
    </w:p>
    <w:p w14:paraId="382B7990">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夯实新材料产业</w:t>
      </w:r>
    </w:p>
    <w:p w14:paraId="43AED58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聚焦金台高端制造产业链上装备制造材料需求，提升新材料应用水平和基础支撑能力，重点建设电子信息、新型合金、新型建筑等新材料产业。</w:t>
      </w:r>
    </w:p>
    <w:p w14:paraId="71A080FA">
      <w:pPr>
        <w:widowControl w:val="0"/>
        <w:adjustRightInd w:val="0"/>
        <w:snapToGrid w:val="0"/>
        <w:spacing w:line="560" w:lineRule="exact"/>
        <w:ind w:firstLine="643" w:firstLineChars="200"/>
        <w:jc w:val="both"/>
        <w:rPr>
          <w:rFonts w:ascii="Times New Roman" w:hAnsi="Times New Roman" w:eastAsia="仿宋_GB2312" w:cs="仿宋_GB2312"/>
          <w:bCs/>
          <w:sz w:val="32"/>
          <w:szCs w:val="32"/>
        </w:rPr>
      </w:pPr>
      <w:r>
        <w:rPr>
          <w:rFonts w:hint="eastAsia" w:ascii="Times New Roman" w:hAnsi="Times New Roman" w:eastAsia="仿宋_GB2312" w:cs="仿宋_GB2312"/>
          <w:b/>
          <w:bCs/>
          <w:sz w:val="32"/>
          <w:szCs w:val="32"/>
        </w:rPr>
        <w:t>电子信息材料。</w:t>
      </w:r>
      <w:r>
        <w:rPr>
          <w:rFonts w:hint="eastAsia" w:ascii="Times New Roman" w:hAnsi="Times New Roman" w:eastAsia="仿宋_GB2312" w:cs="仿宋_GB2312"/>
          <w:bCs/>
          <w:sz w:val="32"/>
          <w:szCs w:val="32"/>
        </w:rPr>
        <w:t>以电子信息产业需求为导向，重点发展新型元器件用电子陶瓷、磁性、晶体、覆铜板、信息传感等材料，发展超高纯金属溅射靶材，保障大规模集成电路、半导体芯片、液晶显示等领域需要。培育发展氮化镓、碳化硅、氧化锌、金刚石等宽禁带第三代半导体材料。</w:t>
      </w:r>
    </w:p>
    <w:p w14:paraId="08EE0646">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新型合金材料。</w:t>
      </w:r>
      <w:r>
        <w:rPr>
          <w:rFonts w:hint="eastAsia" w:ascii="Times New Roman" w:hAnsi="Times New Roman" w:eastAsia="仿宋_GB2312" w:cs="仿宋_GB2312"/>
          <w:sz w:val="32"/>
          <w:szCs w:val="32"/>
        </w:rPr>
        <w:t>系列化研发新型合金材料，推动铝材、新型合金材料等龙头企业产品生产加工系列化建设，积极发展高端材料研制生产高科技企业。发挥华煜鼎尊、合鑫金诺等重点企业核心技术优势，针对应用领域，体系化研发设备制造。</w:t>
      </w:r>
      <w:r>
        <w:rPr>
          <w:rFonts w:ascii="Times New Roman" w:hAnsi="Times New Roman" w:eastAsia="仿宋_GB2312"/>
          <w:sz w:val="32"/>
          <w:szCs w:val="32"/>
        </w:rPr>
        <w:t xml:space="preserve"> </w:t>
      </w:r>
    </w:p>
    <w:p w14:paraId="1CBB39DD">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新型建筑材料。</w:t>
      </w:r>
      <w:r>
        <w:rPr>
          <w:rFonts w:hint="eastAsia" w:ascii="Times New Roman" w:hAnsi="Times New Roman" w:eastAsia="仿宋_GB2312" w:cs="仿宋_GB2312"/>
          <w:sz w:val="32"/>
          <w:szCs w:val="32"/>
        </w:rPr>
        <w:t>积极推进传统建材转型升级，鼓励企业发展水泥制品、预拌砂浆、装配式建筑等绿色节能新型建材生产，强化新型建材生产基地建设，推动嘉利来外墙保温板、真石漆生产线项目扩产提效。</w:t>
      </w:r>
    </w:p>
    <w:p w14:paraId="2F15A468">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做优电子信息产业</w:t>
      </w:r>
    </w:p>
    <w:p w14:paraId="4559F13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利用金台融入“一带一路”和关中平原城市群建设的战略机遇，科学编制电子信息产业专项规划，系统谋划新型元器件、光电、半导体、通讯等领域产品研发生产。</w:t>
      </w:r>
    </w:p>
    <w:p w14:paraId="6B19D58A">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高标准发展电子信息产业。</w:t>
      </w:r>
      <w:r>
        <w:rPr>
          <w:rFonts w:hint="eastAsia" w:ascii="Times New Roman" w:hAnsi="Times New Roman" w:eastAsia="仿宋_GB2312" w:cs="仿宋_GB2312"/>
          <w:sz w:val="32"/>
          <w:szCs w:val="32"/>
        </w:rPr>
        <w:t>高标准打造金台电子信息产业园，推动电子信息产业“强链、补链、延链、壮链”，强化产业化、智能化高端项目建设，积极推动项目落地，构建与陕西电子信息集团、中国航天六院共建电子信息产业园有效推进机制，积极引进知名电子信息企业新建项目落户金台，争取天光电子等企业整体搬迁至金台。</w:t>
      </w:r>
    </w:p>
    <w:p w14:paraId="1A740136">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统筹发展智能机器人制造业。</w:t>
      </w:r>
      <w:r>
        <w:rPr>
          <w:rFonts w:hint="eastAsia" w:ascii="Times New Roman" w:hAnsi="Times New Roman" w:eastAsia="仿宋_GB2312" w:cs="仿宋_GB2312"/>
          <w:sz w:val="32"/>
          <w:szCs w:val="32"/>
        </w:rPr>
        <w:t>科学研判发展趋势，深化研发设计、工业互联网、工业控制、高端装备、精密仪器等重点领域需求研究，积极借力宝鸡、西安和区外研发力量成立技术孵化基地、人员培训基地，培育发展面向家庭服务机器人和面向智能制造、特种作业的工业机器人。</w:t>
      </w:r>
    </w:p>
    <w:p w14:paraId="0D6E42FE">
      <w:pPr>
        <w:numPr>
          <w:ilvl w:val="0"/>
          <w:numId w:val="6"/>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大力发展数字产业</w:t>
      </w:r>
    </w:p>
    <w:p w14:paraId="1EEB9B54">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加快发展数字经济，打造数字经济新优势，协同推进数字产业化和产业数字化转型，实施“互联网</w:t>
      </w:r>
      <w:r>
        <w:rPr>
          <w:rFonts w:ascii="Times New Roman" w:hAnsi="Times New Roman" w:eastAsia="仿宋_GB2312"/>
          <w:sz w:val="32"/>
          <w:szCs w:val="32"/>
        </w:rPr>
        <w:t>+</w:t>
      </w:r>
      <w:r>
        <w:rPr>
          <w:rFonts w:hint="eastAsia" w:ascii="Times New Roman" w:hAnsi="Times New Roman" w:eastAsia="仿宋_GB2312"/>
          <w:sz w:val="32"/>
          <w:szCs w:val="32"/>
        </w:rPr>
        <w:t>”</w:t>
      </w:r>
      <w:r>
        <w:rPr>
          <w:rFonts w:hint="eastAsia" w:ascii="Times New Roman" w:hAnsi="Times New Roman" w:eastAsia="仿宋_GB2312" w:cs="仿宋_GB2312"/>
          <w:sz w:val="32"/>
          <w:szCs w:val="32"/>
        </w:rPr>
        <w:t>行动，推动信息技术系统化应用，培育数字经济新产品、新模式、新业态。</w:t>
      </w:r>
    </w:p>
    <w:p w14:paraId="5430CBDE">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全面发展数字经济。</w:t>
      </w:r>
      <w:r>
        <w:rPr>
          <w:rFonts w:hint="eastAsia" w:ascii="Times New Roman" w:hAnsi="Times New Roman" w:eastAsia="仿宋_GB2312" w:cs="仿宋_GB2312"/>
          <w:sz w:val="32"/>
          <w:szCs w:val="32"/>
        </w:rPr>
        <w:t>促进数字经济和实体经济融合发展，依托数字产业化和产业数字化双轮驱动，坚持政府引导和市场机制相结合，大力发展数字产业化，着力提升产业链水平，营造数字经济产业生态，加快推进产业数字化。</w:t>
      </w:r>
    </w:p>
    <w:p w14:paraId="45F619DC">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建设数据信息平台。</w:t>
      </w:r>
      <w:r>
        <w:rPr>
          <w:rFonts w:hint="eastAsia" w:ascii="Times New Roman" w:hAnsi="Times New Roman" w:eastAsia="仿宋_GB2312" w:cs="仿宋_GB2312"/>
          <w:sz w:val="32"/>
          <w:szCs w:val="32"/>
        </w:rPr>
        <w:t>建设金台区数据信息平台，依托金台大数据产业园，推动全区电子商务多样化应用，培育壮大电子商务市场主体，建设电商示范平台、示范企业、示范镇和示范村。搭建智能信息服务平台，为企业招商提供准入评估、智能匹配、</w:t>
      </w:r>
      <w:r>
        <w:rPr>
          <w:rFonts w:hint="eastAsia" w:ascii="Times New Roman" w:hAnsi="Times New Roman" w:eastAsia="仿宋_GB2312" w:cs="仿宋_GB2312"/>
          <w:sz w:val="32"/>
          <w:szCs w:val="32"/>
          <w:lang w:eastAsia="zh-CN"/>
        </w:rPr>
        <w:t>经济形势分析</w:t>
      </w:r>
      <w:r>
        <w:rPr>
          <w:rFonts w:hint="eastAsia" w:ascii="Times New Roman" w:hAnsi="Times New Roman" w:eastAsia="仿宋_GB2312" w:cs="仿宋_GB2312"/>
          <w:sz w:val="32"/>
          <w:szCs w:val="32"/>
        </w:rPr>
        <w:t>等服务，促进区内外信息资源与服务资源整合，统筹管理全区范围内产业发展情况。</w:t>
      </w:r>
    </w:p>
    <w:p w14:paraId="73D1EE52">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建设西部数字产业基地。</w:t>
      </w:r>
      <w:r>
        <w:rPr>
          <w:rFonts w:hint="eastAsia" w:ascii="Times New Roman" w:hAnsi="Times New Roman" w:eastAsia="仿宋_GB2312" w:cs="仿宋_GB2312"/>
          <w:sz w:val="32"/>
          <w:szCs w:val="32"/>
        </w:rPr>
        <w:t>强化建设大数据产业园发展，争取创建省级数字经济示范园区，打造丝绸经济带沿线大数据节点城市，建成中西部数据信息产业基地。</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184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CF1D089">
            <w:pPr>
              <w:adjustRightInd w:val="0"/>
              <w:snapToGrid w:val="0"/>
              <w:spacing w:line="400" w:lineRule="exact"/>
              <w:jc w:val="center"/>
              <w:rPr>
                <w:rFonts w:ascii="Times New Roman" w:hAnsi="Times New Roman" w:eastAsia="仿宋_GB2312"/>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3 </w:t>
            </w:r>
            <w:r>
              <w:rPr>
                <w:rFonts w:hint="eastAsia" w:ascii="Times New Roman" w:hAnsi="Times New Roman" w:eastAsia="黑体"/>
                <w:sz w:val="28"/>
                <w:szCs w:val="28"/>
              </w:rPr>
              <w:t>新兴产业重大项目</w:t>
            </w:r>
          </w:p>
        </w:tc>
      </w:tr>
      <w:tr w14:paraId="13F34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1" w:hRule="atLeast"/>
        </w:trPr>
        <w:tc>
          <w:tcPr>
            <w:tcW w:w="5000" w:type="pct"/>
          </w:tcPr>
          <w:p w14:paraId="6E3D811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1.蟠龙高新区BOPP包装新材料项目。</w:t>
            </w:r>
            <w:r>
              <w:rPr>
                <w:rFonts w:hint="eastAsia" w:ascii="仿宋_GB2312" w:hAnsi="仿宋_GB2312" w:eastAsia="仿宋_GB2312" w:cs="仿宋_GB2312"/>
                <w:sz w:val="28"/>
                <w:szCs w:val="28"/>
              </w:rPr>
              <w:t>主要建设两条BOPP预涂基膜生产线及其配套设备设施，投资约12亿元。</w:t>
            </w:r>
          </w:p>
          <w:p w14:paraId="26216241">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2.金台区大数据中心项目。</w:t>
            </w:r>
            <w:r>
              <w:rPr>
                <w:rFonts w:hint="eastAsia" w:ascii="仿宋_GB2312" w:hAnsi="仿宋_GB2312" w:eastAsia="仿宋_GB2312" w:cs="仿宋_GB2312"/>
                <w:sz w:val="28"/>
                <w:szCs w:val="28"/>
              </w:rPr>
              <w:t>建设“数聚金台”智慧城市综合管理平台，投资约8亿元。</w:t>
            </w:r>
          </w:p>
          <w:p w14:paraId="571F639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3.金台区数字经济产业园项目。</w:t>
            </w:r>
            <w:r>
              <w:rPr>
                <w:rFonts w:hint="eastAsia" w:ascii="仿宋_GB2312" w:hAnsi="仿宋_GB2312" w:eastAsia="仿宋_GB2312" w:cs="仿宋_GB2312"/>
                <w:sz w:val="28"/>
                <w:szCs w:val="28"/>
              </w:rPr>
              <w:t>发展电子商务、人工智能、软件研发、大数据应用场景开发等，形成大数据产业链，投资约2.5亿元。</w:t>
            </w:r>
          </w:p>
          <w:p w14:paraId="3497951C">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4</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金台区人工智能复合测试平台。</w:t>
            </w:r>
            <w:r>
              <w:rPr>
                <w:rFonts w:hint="eastAsia" w:ascii="仿宋_GB2312" w:hAnsi="仿宋_GB2312" w:eastAsia="仿宋_GB2312" w:cs="仿宋_GB2312"/>
                <w:sz w:val="28"/>
                <w:szCs w:val="28"/>
              </w:rPr>
              <w:t>基于人工智能理念设计的专业化测试平台，提供政务、医疗、景区、主题活动等机器人定制化服务，投资约</w:t>
            </w:r>
            <w:r>
              <w:rPr>
                <w:rFonts w:ascii="仿宋_GB2312" w:hAnsi="仿宋_GB2312" w:eastAsia="仿宋_GB2312" w:cs="仿宋_GB2312"/>
                <w:sz w:val="28"/>
                <w:szCs w:val="28"/>
              </w:rPr>
              <w:t>0.25</w:t>
            </w:r>
            <w:r>
              <w:rPr>
                <w:rFonts w:hint="eastAsia" w:ascii="仿宋_GB2312" w:hAnsi="仿宋_GB2312" w:eastAsia="仿宋_GB2312" w:cs="仿宋_GB2312"/>
                <w:sz w:val="28"/>
                <w:szCs w:val="28"/>
              </w:rPr>
              <w:t>亿元。</w:t>
            </w:r>
          </w:p>
          <w:p w14:paraId="7C307113">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5</w:t>
            </w:r>
            <w:r>
              <w:rPr>
                <w:rFonts w:hint="eastAsia" w:ascii="仿宋_GB2312" w:hAnsi="仿宋_GB2312" w:eastAsia="仿宋_GB2312" w:cs="仿宋_GB2312"/>
                <w:b/>
                <w:bCs/>
                <w:sz w:val="28"/>
                <w:szCs w:val="28"/>
              </w:rPr>
              <w:t>.金河工业园合鑫金诺二期建设项目。</w:t>
            </w:r>
            <w:r>
              <w:rPr>
                <w:rFonts w:hint="eastAsia" w:ascii="仿宋_GB2312" w:hAnsi="仿宋_GB2312" w:eastAsia="仿宋_GB2312" w:cs="仿宋_GB2312"/>
                <w:sz w:val="28"/>
                <w:szCs w:val="28"/>
              </w:rPr>
              <w:t>建设标准化厂房、全封闭式长发生产线，配套研发等设施，投资约1亿元。</w:t>
            </w:r>
          </w:p>
          <w:p w14:paraId="4578906A">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bCs/>
                <w:sz w:val="28"/>
                <w:szCs w:val="28"/>
              </w:rPr>
              <w:t>6</w:t>
            </w:r>
            <w:r>
              <w:rPr>
                <w:rFonts w:hint="eastAsia" w:ascii="仿宋_GB2312" w:hAnsi="仿宋_GB2312" w:eastAsia="仿宋_GB2312" w:cs="仿宋_GB2312"/>
                <w:b/>
                <w:bCs/>
                <w:sz w:val="28"/>
                <w:szCs w:val="28"/>
              </w:rPr>
              <w:t>.金台区数字化科创中心</w:t>
            </w:r>
            <w:r>
              <w:rPr>
                <w:rFonts w:hint="eastAsia" w:ascii="仿宋_GB2312" w:hAnsi="仿宋_GB2312" w:eastAsia="仿宋_GB2312" w:cs="仿宋_GB2312"/>
                <w:sz w:val="28"/>
                <w:szCs w:val="28"/>
              </w:rPr>
              <w:t>。整合工信、科技部门、宝鸡文理学院计算机学院相关资源，推动政校企深度合作，解决全区相关企业在软件研发硬件集成等困难需求，投资约0.2亿元。</w:t>
            </w:r>
          </w:p>
          <w:p w14:paraId="548452E7">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7.金台区高密度钨合金生产加工项目。</w:t>
            </w:r>
            <w:r>
              <w:rPr>
                <w:rFonts w:hint="eastAsia" w:ascii="仿宋_GB2312" w:hAnsi="仿宋_GB2312" w:eastAsia="仿宋_GB2312" w:cs="仿宋_GB2312"/>
                <w:bCs/>
                <w:sz w:val="28"/>
                <w:szCs w:val="28"/>
              </w:rPr>
              <w:t>建设钨合金生产线</w:t>
            </w:r>
            <w:r>
              <w:rPr>
                <w:rFonts w:ascii="仿宋_GB2312" w:hAnsi="仿宋_GB2312" w:eastAsia="仿宋_GB2312" w:cs="仿宋_GB2312"/>
                <w:bCs/>
                <w:sz w:val="28"/>
                <w:szCs w:val="28"/>
              </w:rPr>
              <w:t>4条，年产量达20万发</w:t>
            </w:r>
            <w:r>
              <w:rPr>
                <w:rFonts w:hint="eastAsia" w:ascii="仿宋_GB2312" w:hAnsi="仿宋_GB2312" w:eastAsia="仿宋_GB2312" w:cs="仿宋_GB2312"/>
                <w:bCs/>
                <w:sz w:val="28"/>
                <w:szCs w:val="28"/>
              </w:rPr>
              <w:t>，投资约3</w:t>
            </w:r>
            <w:r>
              <w:rPr>
                <w:rFonts w:ascii="仿宋_GB2312" w:hAnsi="仿宋_GB2312" w:eastAsia="仿宋_GB2312" w:cs="仿宋_GB2312"/>
                <w:bCs/>
                <w:sz w:val="28"/>
                <w:szCs w:val="28"/>
              </w:rPr>
              <w:t>亿元。</w:t>
            </w:r>
          </w:p>
          <w:p w14:paraId="3E7ADED3">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8.金台区智能传感器产业园。</w:t>
            </w:r>
            <w:r>
              <w:rPr>
                <w:rFonts w:hint="eastAsia" w:ascii="仿宋_GB2312" w:hAnsi="仿宋_GB2312" w:eastAsia="仿宋_GB2312" w:cs="仿宋_GB2312"/>
                <w:bCs/>
                <w:sz w:val="28"/>
                <w:szCs w:val="28"/>
              </w:rPr>
              <w:t>吸引带动一批传感器领域优质企业集聚，投资约1.5</w:t>
            </w:r>
            <w:r>
              <w:rPr>
                <w:rFonts w:ascii="仿宋_GB2312" w:hAnsi="仿宋_GB2312" w:eastAsia="仿宋_GB2312" w:cs="仿宋_GB2312"/>
                <w:bCs/>
                <w:sz w:val="28"/>
                <w:szCs w:val="28"/>
              </w:rPr>
              <w:t>亿元。</w:t>
            </w:r>
          </w:p>
          <w:p w14:paraId="28E60D2B">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9.</w:t>
            </w:r>
            <w:r>
              <w:rPr>
                <w:rFonts w:hint="eastAsia"/>
              </w:rPr>
              <w:t xml:space="preserve"> </w:t>
            </w:r>
            <w:r>
              <w:rPr>
                <w:rFonts w:hint="eastAsia" w:ascii="仿宋_GB2312" w:hAnsi="仿宋_GB2312" w:eastAsia="仿宋_GB2312" w:cs="仿宋_GB2312"/>
                <w:b/>
                <w:bCs/>
                <w:sz w:val="28"/>
                <w:szCs w:val="28"/>
              </w:rPr>
              <w:t>金河工业园中祺陶瓷</w:t>
            </w:r>
            <w:r>
              <w:rPr>
                <w:rFonts w:ascii="仿宋_GB2312" w:hAnsi="仿宋_GB2312" w:eastAsia="仿宋_GB2312" w:cs="仿宋_GB2312"/>
                <w:b/>
                <w:bCs/>
                <w:sz w:val="28"/>
                <w:szCs w:val="28"/>
              </w:rPr>
              <w:t>2号生产线节能改造项目</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新购设备、</w:t>
            </w:r>
            <w:r>
              <w:rPr>
                <w:rFonts w:ascii="仿宋_GB2312" w:hAnsi="仿宋_GB2312" w:eastAsia="仿宋_GB2312" w:cs="仿宋_GB2312"/>
                <w:bCs/>
                <w:sz w:val="28"/>
                <w:szCs w:val="28"/>
              </w:rPr>
              <w:t>新建节能型窑炉</w:t>
            </w:r>
            <w:r>
              <w:rPr>
                <w:rFonts w:hint="eastAsia" w:ascii="仿宋_GB2312" w:hAnsi="仿宋_GB2312" w:eastAsia="仿宋_GB2312" w:cs="仿宋_GB2312"/>
                <w:bCs/>
                <w:sz w:val="28"/>
                <w:szCs w:val="28"/>
              </w:rPr>
              <w:t>、</w:t>
            </w:r>
            <w:r>
              <w:rPr>
                <w:rFonts w:ascii="仿宋_GB2312" w:hAnsi="仿宋_GB2312" w:eastAsia="仿宋_GB2312" w:cs="仿宋_GB2312"/>
                <w:bCs/>
                <w:sz w:val="28"/>
                <w:szCs w:val="28"/>
              </w:rPr>
              <w:t>拆除原高能耗的干燥器及窑炉等</w:t>
            </w:r>
            <w:r>
              <w:rPr>
                <w:rFonts w:hint="eastAsia" w:ascii="仿宋_GB2312" w:hAnsi="仿宋_GB2312" w:eastAsia="仿宋_GB2312" w:cs="仿宋_GB2312"/>
                <w:bCs/>
                <w:sz w:val="28"/>
                <w:szCs w:val="28"/>
              </w:rPr>
              <w:t>，投资约1</w:t>
            </w:r>
            <w:r>
              <w:rPr>
                <w:rFonts w:ascii="仿宋_GB2312" w:hAnsi="仿宋_GB2312" w:eastAsia="仿宋_GB2312" w:cs="仿宋_GB2312"/>
                <w:bCs/>
                <w:sz w:val="28"/>
                <w:szCs w:val="28"/>
              </w:rPr>
              <w:t>亿元。</w:t>
            </w:r>
          </w:p>
          <w:p w14:paraId="2126BB1C">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10.金河工业园金属复合阳极板建设项目。</w:t>
            </w:r>
            <w:r>
              <w:rPr>
                <w:rFonts w:hint="eastAsia" w:ascii="仿宋_GB2312" w:hAnsi="仿宋_GB2312" w:eastAsia="仿宋_GB2312" w:cs="仿宋_GB2312"/>
                <w:bCs/>
                <w:sz w:val="28"/>
                <w:szCs w:val="28"/>
              </w:rPr>
              <w:t>建成复合材料生产线，投资约0.5</w:t>
            </w:r>
            <w:r>
              <w:rPr>
                <w:rFonts w:ascii="仿宋_GB2312" w:hAnsi="仿宋_GB2312" w:eastAsia="仿宋_GB2312" w:cs="仿宋_GB2312"/>
                <w:bCs/>
                <w:sz w:val="28"/>
                <w:szCs w:val="28"/>
              </w:rPr>
              <w:t>亿元。</w:t>
            </w:r>
          </w:p>
        </w:tc>
      </w:tr>
    </w:tbl>
    <w:p w14:paraId="430D1A9C">
      <w:pPr>
        <w:rPr>
          <w:rFonts w:ascii="Times New Roman" w:hAnsi="Times New Roman" w:cs="宋体"/>
          <w:sz w:val="32"/>
          <w:szCs w:val="24"/>
        </w:rPr>
      </w:pPr>
      <w:r>
        <w:rPr>
          <w:rFonts w:hint="eastAsia" w:ascii="Times New Roman" w:hAnsi="Times New Roman" w:cs="宋体"/>
          <w:sz w:val="32"/>
          <w:szCs w:val="24"/>
        </w:rPr>
        <w:br w:type="page"/>
      </w:r>
    </w:p>
    <w:p w14:paraId="2BA172A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3" w:name="_Toc66442959"/>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推进产业园区化承载</w:t>
      </w:r>
      <w:bookmarkEnd w:id="123"/>
    </w:p>
    <w:p w14:paraId="08F2AE28">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规划引领、园区承载、产业聚集”发展思路，创新“园中园”发展新模式，优化现有园区发展定位，积极创新建设新园区，推进产城融合发展。金河工业园创建成为省级经济技术开发区，龙源工业园、福临堡工业园建成省级示范县域工业集中区，适时推进龙凤工业园建设，全力打造老工业基地转型升级示范区。</w:t>
      </w:r>
    </w:p>
    <w:p w14:paraId="4F9DFA95">
      <w:pPr>
        <w:numPr>
          <w:ilvl w:val="0"/>
          <w:numId w:val="7"/>
        </w:numPr>
        <w:adjustRightInd w:val="0"/>
        <w:snapToGrid w:val="0"/>
        <w:spacing w:line="600" w:lineRule="exact"/>
        <w:outlineLvl w:val="2"/>
        <w:rPr>
          <w:rFonts w:ascii="Times New Roman" w:hAnsi="Times New Roman" w:eastAsia="楷体"/>
          <w:b/>
          <w:bCs/>
          <w:sz w:val="32"/>
          <w:szCs w:val="32"/>
        </w:rPr>
      </w:pPr>
      <w:r>
        <w:rPr>
          <w:rFonts w:hint="eastAsia" w:ascii="Times New Roman" w:hAnsi="Times New Roman" w:eastAsia="楷体" w:cs="楷体"/>
          <w:b/>
          <w:bCs/>
          <w:sz w:val="32"/>
          <w:szCs w:val="32"/>
        </w:rPr>
        <w:t>打造重点产业园区</w:t>
      </w:r>
    </w:p>
    <w:p w14:paraId="76CCF78C">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金河工业园。</w:t>
      </w:r>
      <w:r>
        <w:rPr>
          <w:rFonts w:hint="eastAsia" w:ascii="Times New Roman" w:hAnsi="Times New Roman" w:eastAsia="仿宋_GB2312" w:cs="仿宋_GB2312"/>
          <w:sz w:val="32"/>
          <w:szCs w:val="32"/>
        </w:rPr>
        <w:t>围绕打造金河工业走廊，以石油装备制造和机床工具配套为园区主导产业，以“园中园”模式加快循环经济产业、军民融合产业、汽车零部件产业、外贸产业、金属表面处理产业发展，建设产业集聚度高、产城融合度高、业内圈外知名度高的多功能高科技工业园区。</w:t>
      </w:r>
    </w:p>
    <w:p w14:paraId="500C15F4">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龙源工业园。</w:t>
      </w:r>
      <w:r>
        <w:rPr>
          <w:rFonts w:hint="eastAsia" w:ascii="Times New Roman" w:hAnsi="Times New Roman" w:eastAsia="仿宋_GB2312" w:cs="仿宋_GB2312"/>
          <w:sz w:val="32"/>
          <w:szCs w:val="32"/>
        </w:rPr>
        <w:t>着力打造大健康产业园、电子信息产业园和装备制造产业园，建设高新技术创业服务中心，在大健康产业园建设特色食品产业集群，</w:t>
      </w:r>
      <w:r>
        <w:rPr>
          <w:rFonts w:hint="eastAsia" w:ascii="仿宋_GB2312" w:hAnsi="仿宋_GB2312" w:eastAsia="仿宋_GB2312" w:cs="仿宋_GB2312"/>
          <w:sz w:val="32"/>
          <w:szCs w:val="32"/>
        </w:rPr>
        <w:t>以大企业、科技创新型企业为招商方向</w:t>
      </w:r>
      <w:r>
        <w:rPr>
          <w:rFonts w:hint="eastAsia" w:ascii="Times New Roman" w:hAnsi="Times New Roman" w:eastAsia="仿宋_GB2312" w:cs="仿宋_GB2312"/>
          <w:sz w:val="32"/>
          <w:szCs w:val="32"/>
        </w:rPr>
        <w:t>，</w:t>
      </w:r>
      <w:r>
        <w:rPr>
          <w:rFonts w:hint="eastAsia" w:ascii="仿宋_GB2312" w:hAnsi="仿宋_GB2312" w:eastAsia="仿宋_GB2312" w:cs="仿宋_GB2312"/>
          <w:sz w:val="32"/>
          <w:szCs w:val="32"/>
        </w:rPr>
        <w:t>提高入驻门槛，</w:t>
      </w:r>
      <w:r>
        <w:rPr>
          <w:rFonts w:hint="eastAsia" w:ascii="Times New Roman" w:hAnsi="Times New Roman" w:eastAsia="仿宋_GB2312" w:cs="仿宋_GB2312"/>
          <w:sz w:val="32"/>
          <w:szCs w:val="32"/>
        </w:rPr>
        <w:t>构建“园中园”共建共享发展体系，实现项目、资金、人才、技术等互通共享。</w:t>
      </w:r>
    </w:p>
    <w:p w14:paraId="7F717CA1">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福临堡工业园。</w:t>
      </w:r>
      <w:r>
        <w:rPr>
          <w:rFonts w:hint="eastAsia" w:ascii="Times New Roman" w:hAnsi="Times New Roman" w:eastAsia="仿宋_GB2312" w:cs="仿宋_GB2312"/>
          <w:sz w:val="32"/>
          <w:szCs w:val="32"/>
        </w:rPr>
        <w:t>以宝鸡合力叉车、中车时代为龙头，建设福临堡工业园。鼓励支持合力达、东旗叉车、超顺钢铁等配套企业提升产品质量，扩大叉车领域配套规模。整合周边土地资源，积极引进一批关键零部件配套协作企业，形成较为完整的产业链条。</w:t>
      </w:r>
    </w:p>
    <w:p w14:paraId="36078E5B">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bCs/>
          <w:sz w:val="32"/>
          <w:szCs w:val="32"/>
        </w:rPr>
        <w:t>再生资源循环经济产业园。</w:t>
      </w:r>
      <w:r>
        <w:rPr>
          <w:rFonts w:hint="eastAsia" w:ascii="Times New Roman" w:hAnsi="Times New Roman" w:eastAsia="仿宋_GB2312" w:cs="仿宋_GB2312"/>
          <w:sz w:val="32"/>
          <w:szCs w:val="32"/>
        </w:rPr>
        <w:t>围绕城市垃圾填埋场，在长寿沟附近建设再生资源循环经济园区，建设资源“城市矿产”基地，发展报废机动车回收拆解、废钢铁加工利用、废旧特种设备拆解中心、废玻璃回收加工、固废和生活垃圾综合利用项目，推进垃圾资源化利用和无害化处理。</w:t>
      </w:r>
    </w:p>
    <w:p w14:paraId="3D41E0EC">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建设中小微企业园</w:t>
      </w:r>
    </w:p>
    <w:p w14:paraId="57A65D69">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cs="仿宋_GB2312"/>
          <w:b/>
          <w:bCs/>
          <w:sz w:val="32"/>
          <w:szCs w:val="32"/>
        </w:rPr>
        <w:t>加快中小微企业园建设。</w:t>
      </w:r>
      <w:r>
        <w:rPr>
          <w:rFonts w:hint="eastAsia" w:ascii="Times New Roman" w:hAnsi="Times New Roman" w:eastAsia="仿宋_GB2312" w:cs="仿宋_GB2312"/>
          <w:sz w:val="32"/>
          <w:szCs w:val="32"/>
        </w:rPr>
        <w:t>围绕关中城市群发展建设需求，积极筹划发展中小微型企业园，承接西安都市圈和沿海区域先进中小微型装备制造、电子信息、食品医药等高技术企业转移，“退城入园”后的企业场地，有条件的改造成中小微企业园，提高本地产业配套率，营造宝鸡民营装备制造产业发展高地。</w:t>
      </w:r>
    </w:p>
    <w:p w14:paraId="6BAB99A2">
      <w:pPr>
        <w:widowControl w:val="0"/>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bCs/>
          <w:sz w:val="32"/>
          <w:szCs w:val="32"/>
        </w:rPr>
        <w:t>建设中小微企业孵化基地。</w:t>
      </w:r>
      <w:r>
        <w:rPr>
          <w:rFonts w:hint="eastAsia" w:ascii="Times New Roman" w:hAnsi="Times New Roman" w:eastAsia="仿宋_GB2312" w:cs="仿宋_GB2312"/>
          <w:spacing w:val="-4"/>
          <w:sz w:val="32"/>
          <w:szCs w:val="32"/>
        </w:rPr>
        <w:t>重点支持群众路、陈仓镇、西关等中小微企业孵化基地建设，推进园区标准化厂房、道路、水电等基础设施建设，提升园区承载能力，推动中小微企业入园集聚发展。</w:t>
      </w:r>
    </w:p>
    <w:p w14:paraId="719D3962">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4E86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364353C">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cs="黑体"/>
                <w:sz w:val="28"/>
                <w:szCs w:val="28"/>
              </w:rPr>
              <w:t>专栏</w:t>
            </w:r>
            <w:r>
              <w:rPr>
                <w:rFonts w:ascii="Times New Roman" w:hAnsi="Times New Roman" w:eastAsia="黑体" w:cs="黑体"/>
                <w:sz w:val="28"/>
                <w:szCs w:val="28"/>
              </w:rPr>
              <w:t xml:space="preserve">6 </w:t>
            </w:r>
            <w:r>
              <w:rPr>
                <w:rFonts w:hint="eastAsia" w:ascii="Times New Roman" w:hAnsi="Times New Roman" w:eastAsia="黑体" w:cs="黑体"/>
                <w:sz w:val="28"/>
                <w:szCs w:val="28"/>
              </w:rPr>
              <w:t>产业园区重大项目</w:t>
            </w:r>
          </w:p>
        </w:tc>
      </w:tr>
      <w:tr w14:paraId="67CFD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E0A2DAA">
            <w:pPr>
              <w:widowControl w:val="0"/>
              <w:adjustRightInd w:val="0"/>
              <w:snapToGrid w:val="0"/>
              <w:spacing w:line="390" w:lineRule="exact"/>
              <w:ind w:firstLine="562" w:firstLineChars="200"/>
              <w:jc w:val="both"/>
              <w:rPr>
                <w:rFonts w:ascii="Times New Roman" w:hAnsi="Times New Roman" w:eastAsia="仿宋_GB2312"/>
                <w:sz w:val="28"/>
                <w:szCs w:val="28"/>
              </w:rPr>
            </w:pPr>
            <w:r>
              <w:rPr>
                <w:rFonts w:ascii="Times New Roman" w:hAnsi="Times New Roman" w:eastAsia="仿宋_GB2312" w:cs="仿宋_GB2312"/>
                <w:b/>
                <w:bCs/>
                <w:sz w:val="28"/>
                <w:szCs w:val="28"/>
              </w:rPr>
              <w:t>1.</w:t>
            </w:r>
            <w:r>
              <w:rPr>
                <w:rFonts w:hint="eastAsia" w:ascii="Times New Roman" w:hAnsi="Times New Roman" w:eastAsia="仿宋_GB2312" w:cs="仿宋_GB2312"/>
                <w:b/>
                <w:bCs/>
                <w:sz w:val="28"/>
                <w:szCs w:val="28"/>
              </w:rPr>
              <w:t>龙源工业园。</w:t>
            </w:r>
            <w:r>
              <w:rPr>
                <w:rFonts w:hint="eastAsia" w:ascii="Times New Roman" w:hAnsi="Times New Roman" w:eastAsia="仿宋_GB2312" w:cs="仿宋_GB2312"/>
                <w:sz w:val="28"/>
                <w:szCs w:val="28"/>
              </w:rPr>
              <w:t>引进装备制造、电子信息、文化旅游等相关产业</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户以上，投资约</w:t>
            </w:r>
            <w:r>
              <w:rPr>
                <w:rFonts w:ascii="Times New Roman" w:hAnsi="Times New Roman" w:eastAsia="仿宋_GB2312" w:cs="仿宋_GB2312"/>
                <w:sz w:val="28"/>
                <w:szCs w:val="28"/>
              </w:rPr>
              <w:t>10</w:t>
            </w:r>
            <w:r>
              <w:rPr>
                <w:rFonts w:hint="eastAsia" w:ascii="Times New Roman" w:hAnsi="Times New Roman" w:eastAsia="仿宋_GB2312" w:cs="仿宋_GB2312"/>
                <w:sz w:val="28"/>
                <w:szCs w:val="28"/>
              </w:rPr>
              <w:t>亿元。</w:t>
            </w:r>
          </w:p>
          <w:p w14:paraId="63FBD0B8">
            <w:pPr>
              <w:adjustRightInd w:val="0"/>
              <w:snapToGrid w:val="0"/>
              <w:spacing w:line="400" w:lineRule="exact"/>
              <w:ind w:firstLine="562" w:firstLineChars="200"/>
              <w:rPr>
                <w:rFonts w:ascii="Times New Roman" w:hAnsi="Times New Roman" w:eastAsia="仿宋_GB2312" w:cs="仿宋_GB2312"/>
                <w:sz w:val="28"/>
                <w:szCs w:val="28"/>
              </w:rPr>
            </w:pPr>
            <w:r>
              <w:rPr>
                <w:rFonts w:hint="eastAsia" w:ascii="Times New Roman" w:hAnsi="Times New Roman" w:eastAsia="仿宋_GB2312" w:cs="仿宋_GB2312"/>
                <w:b/>
                <w:sz w:val="28"/>
                <w:szCs w:val="28"/>
              </w:rPr>
              <w:t>2</w:t>
            </w:r>
            <w:r>
              <w:rPr>
                <w:rFonts w:ascii="Times New Roman" w:hAnsi="Times New Roman" w:eastAsia="仿宋_GB2312" w:cs="仿宋_GB2312"/>
                <w:b/>
                <w:sz w:val="28"/>
                <w:szCs w:val="28"/>
              </w:rPr>
              <w:t>.</w:t>
            </w:r>
            <w:r>
              <w:rPr>
                <w:rFonts w:hint="eastAsia" w:ascii="Times New Roman" w:hAnsi="Times New Roman" w:eastAsia="仿宋_GB2312" w:cs="仿宋_GB2312"/>
                <w:b/>
                <w:sz w:val="28"/>
                <w:szCs w:val="28"/>
              </w:rPr>
              <w:t>蟠龙高新区高端装备制造产业园。</w:t>
            </w:r>
            <w:r>
              <w:rPr>
                <w:rFonts w:hint="eastAsia" w:ascii="Times New Roman" w:hAnsi="Times New Roman" w:eastAsia="仿宋_GB2312" w:cs="仿宋_GB2312"/>
                <w:sz w:val="28"/>
                <w:szCs w:val="28"/>
              </w:rPr>
              <w:t>计划引进电梯、石油装备、机械加工等高端装备制造类企业，投资约</w:t>
            </w:r>
            <w:r>
              <w:rPr>
                <w:rFonts w:ascii="Times New Roman" w:hAnsi="Times New Roman" w:eastAsia="仿宋_GB2312" w:cs="仿宋_GB2312"/>
                <w:sz w:val="28"/>
                <w:szCs w:val="28"/>
              </w:rPr>
              <w:t>20</w:t>
            </w:r>
            <w:r>
              <w:rPr>
                <w:rFonts w:hint="eastAsia" w:ascii="Times New Roman" w:hAnsi="Times New Roman" w:eastAsia="仿宋_GB2312" w:cs="仿宋_GB2312"/>
                <w:sz w:val="28"/>
                <w:szCs w:val="28"/>
              </w:rPr>
              <w:t>亿元。</w:t>
            </w:r>
          </w:p>
          <w:p w14:paraId="51C27131">
            <w:pPr>
              <w:adjustRightInd w:val="0"/>
              <w:snapToGrid w:val="0"/>
              <w:spacing w:line="400" w:lineRule="exact"/>
              <w:ind w:firstLine="562" w:firstLineChars="200"/>
              <w:rPr>
                <w:rFonts w:ascii="Times New Roman" w:hAnsi="Times New Roman" w:eastAsia="仿宋_GB2312"/>
                <w:spacing w:val="-2"/>
                <w:sz w:val="28"/>
                <w:szCs w:val="28"/>
              </w:rPr>
            </w:pPr>
            <w:r>
              <w:rPr>
                <w:rFonts w:hint="eastAsia" w:ascii="Times New Roman" w:hAnsi="Times New Roman" w:eastAsia="仿宋_GB2312"/>
                <w:b/>
                <w:sz w:val="28"/>
                <w:szCs w:val="28"/>
              </w:rPr>
              <w:t>3.福临堡工业园。</w:t>
            </w:r>
            <w:r>
              <w:rPr>
                <w:rFonts w:hint="eastAsia" w:ascii="Times New Roman" w:hAnsi="Times New Roman" w:eastAsia="仿宋_GB2312"/>
                <w:spacing w:val="-2"/>
                <w:sz w:val="28"/>
                <w:szCs w:val="28"/>
              </w:rPr>
              <w:t>启动园区规划编制，以合力叉车、中车时代为载体，大力引进配套企业。</w:t>
            </w:r>
          </w:p>
          <w:p w14:paraId="32985CEB">
            <w:pPr>
              <w:widowControl w:val="0"/>
              <w:adjustRightInd w:val="0"/>
              <w:snapToGrid w:val="0"/>
              <w:spacing w:line="390" w:lineRule="exact"/>
              <w:ind w:firstLine="562" w:firstLineChars="200"/>
              <w:jc w:val="both"/>
              <w:rPr>
                <w:rFonts w:ascii="Times New Roman" w:hAnsi="Times New Roman" w:eastAsia="仿宋_GB2312" w:cs="仿宋_GB2312"/>
                <w:sz w:val="28"/>
                <w:szCs w:val="28"/>
              </w:rPr>
            </w:pPr>
            <w:r>
              <w:rPr>
                <w:rFonts w:hint="eastAsia" w:ascii="Times New Roman" w:hAnsi="Times New Roman" w:eastAsia="仿宋_GB2312" w:cs="仿宋_GB2312"/>
                <w:b/>
                <w:bCs/>
                <w:sz w:val="28"/>
                <w:szCs w:val="28"/>
              </w:rPr>
              <w:t>4.再生资源循环经济产业园。</w:t>
            </w:r>
            <w:r>
              <w:rPr>
                <w:rFonts w:hint="eastAsia" w:ascii="Times New Roman" w:hAnsi="Times New Roman" w:eastAsia="仿宋_GB2312" w:cs="仿宋_GB2312"/>
                <w:sz w:val="28"/>
                <w:szCs w:val="28"/>
              </w:rPr>
              <w:t>建设综合服务功能区、再生资源循环经济区、再生资源设备制造区、科研教育体验示范区、</w:t>
            </w:r>
            <w:r>
              <w:rPr>
                <w:rFonts w:hint="eastAsia" w:ascii="Times New Roman" w:hAnsi="Times New Roman" w:eastAsia="仿宋_GB2312" w:cs="仿宋_GB2312"/>
                <w:sz w:val="28"/>
                <w:szCs w:val="28"/>
                <w:lang w:eastAsia="zh-CN"/>
              </w:rPr>
              <w:t>生态环境保护</w:t>
            </w:r>
            <w:r>
              <w:rPr>
                <w:rFonts w:hint="eastAsia" w:ascii="Times New Roman" w:hAnsi="Times New Roman" w:eastAsia="仿宋_GB2312" w:cs="仿宋_GB2312"/>
                <w:sz w:val="28"/>
                <w:szCs w:val="28"/>
              </w:rPr>
              <w:t>建设区等五大功能。</w:t>
            </w:r>
          </w:p>
          <w:p w14:paraId="47600C46">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5.金河工业走廊项目。</w:t>
            </w:r>
            <w:r>
              <w:rPr>
                <w:rFonts w:hint="eastAsia" w:ascii="Times New Roman" w:hAnsi="Times New Roman" w:eastAsia="仿宋_GB2312" w:cs="仿宋_GB2312"/>
                <w:bCs/>
                <w:sz w:val="28"/>
                <w:szCs w:val="28"/>
              </w:rPr>
              <w:t>建设特色产业园、研发中心、标准化厂房、配套服务，突出打造五大产业板块，投资约10亿元。</w:t>
            </w:r>
          </w:p>
          <w:p w14:paraId="652AF0EE">
            <w:pPr>
              <w:widowControl w:val="0"/>
              <w:adjustRightInd w:val="0"/>
              <w:snapToGrid w:val="0"/>
              <w:spacing w:line="390" w:lineRule="exact"/>
              <w:ind w:firstLine="562" w:firstLineChars="200"/>
              <w:jc w:val="both"/>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6.金河工业园精密制造产业园。</w:t>
            </w:r>
            <w:r>
              <w:rPr>
                <w:rFonts w:hint="eastAsia" w:ascii="Times New Roman" w:hAnsi="Times New Roman" w:eastAsia="仿宋_GB2312" w:cs="仿宋_GB2312"/>
                <w:bCs/>
                <w:sz w:val="28"/>
                <w:szCs w:val="28"/>
              </w:rPr>
              <w:t>建设标准化厂房，配套建设道路、绿化、给排水、供电、消防等设施，投资约1.5亿元。</w:t>
            </w:r>
          </w:p>
          <w:p w14:paraId="0549807A">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7.金河工业园循环经济产业园项目。</w:t>
            </w:r>
            <w:r>
              <w:rPr>
                <w:rFonts w:hint="eastAsia" w:ascii="Times New Roman" w:hAnsi="Times New Roman" w:eastAsia="仿宋_GB2312" w:cs="仿宋_GB2312"/>
                <w:bCs/>
                <w:sz w:val="28"/>
                <w:szCs w:val="28"/>
              </w:rPr>
              <w:t>建设标准化厂房，购置生产设备以及污水处理等设施，投资约3亿元。</w:t>
            </w:r>
          </w:p>
          <w:p w14:paraId="35BF4985">
            <w:pPr>
              <w:pStyle w:val="8"/>
              <w:ind w:firstLine="562"/>
              <w:rPr>
                <w:rFonts w:ascii="Times New Roman" w:hAnsi="Times New Roman" w:eastAsia="仿宋_GB2312" w:cs="仿宋_GB2312"/>
                <w:bCs/>
                <w:sz w:val="28"/>
                <w:szCs w:val="28"/>
              </w:rPr>
            </w:pPr>
            <w:r>
              <w:rPr>
                <w:rFonts w:hint="eastAsia" w:ascii="Times New Roman" w:hAnsi="Times New Roman" w:eastAsia="仿宋_GB2312" w:cs="仿宋_GB2312"/>
                <w:b/>
                <w:bCs/>
                <w:sz w:val="28"/>
                <w:szCs w:val="28"/>
              </w:rPr>
              <w:t>8.金河工业园石油装备产业园。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，配套建设办公、研发等设施，</w:t>
            </w:r>
            <w:r>
              <w:rPr>
                <w:rFonts w:hint="eastAsia" w:ascii="Times New Roman" w:hAnsi="Times New Roman" w:eastAsia="仿宋_GB2312" w:cs="仿宋_GB2312"/>
                <w:bCs/>
                <w:sz w:val="28"/>
                <w:szCs w:val="28"/>
              </w:rPr>
              <w:t>投资约3亿元。</w:t>
            </w:r>
          </w:p>
          <w:p w14:paraId="490E0651">
            <w:pPr>
              <w:pStyle w:val="8"/>
              <w:ind w:firstLine="562"/>
            </w:pPr>
            <w:r>
              <w:rPr>
                <w:rFonts w:hint="eastAsia" w:ascii="Times New Roman" w:hAnsi="Times New Roman" w:eastAsia="仿宋_GB2312" w:cs="仿宋_GB2312"/>
                <w:b/>
                <w:bCs/>
                <w:sz w:val="28"/>
                <w:szCs w:val="28"/>
              </w:rPr>
              <w:t>9.金河工业园机床配套产业园。</w:t>
            </w:r>
            <w:r>
              <w:rPr>
                <w:rFonts w:hint="eastAsia" w:ascii="Times New Roman" w:hAnsi="Times New Roman" w:eastAsia="仿宋_GB2312" w:cs="仿宋_GB2312"/>
                <w:bCs/>
                <w:sz w:val="28"/>
                <w:szCs w:val="28"/>
              </w:rPr>
              <w:t>建设标准化厂房</w:t>
            </w:r>
            <w:r>
              <w:rPr>
                <w:rFonts w:ascii="Times New Roman" w:hAnsi="Times New Roman" w:eastAsia="仿宋_GB2312" w:cs="仿宋_GB2312"/>
                <w:bCs/>
                <w:sz w:val="28"/>
                <w:szCs w:val="28"/>
              </w:rPr>
              <w:t>，</w:t>
            </w:r>
            <w:r>
              <w:rPr>
                <w:rFonts w:hint="eastAsia" w:ascii="Times New Roman" w:hAnsi="Times New Roman" w:eastAsia="仿宋_GB2312" w:cs="仿宋_GB2312"/>
                <w:bCs/>
                <w:sz w:val="28"/>
                <w:szCs w:val="28"/>
              </w:rPr>
              <w:t>招引产业链关键部件生产企业，投资约3亿元。</w:t>
            </w:r>
          </w:p>
        </w:tc>
      </w:tr>
    </w:tbl>
    <w:p w14:paraId="02ABD6E0">
      <w:pPr>
        <w:numPr>
          <w:ilvl w:val="0"/>
          <w:numId w:val="7"/>
        </w:numPr>
        <w:adjustRightInd w:val="0"/>
        <w:snapToGrid w:val="0"/>
        <w:spacing w:line="600" w:lineRule="exact"/>
        <w:outlineLvl w:val="2"/>
        <w:rPr>
          <w:rFonts w:ascii="Times New Roman" w:hAnsi="Times New Roman" w:eastAsia="楷体" w:cs="楷体"/>
          <w:b/>
          <w:bCs/>
          <w:sz w:val="32"/>
          <w:szCs w:val="32"/>
        </w:rPr>
      </w:pPr>
      <w:r>
        <w:rPr>
          <w:rFonts w:hint="eastAsia" w:ascii="Times New Roman" w:hAnsi="Times New Roman" w:eastAsia="楷体" w:cs="楷体"/>
          <w:b/>
          <w:bCs/>
          <w:sz w:val="32"/>
          <w:szCs w:val="32"/>
        </w:rPr>
        <w:t>加快园区高质量发展</w:t>
      </w:r>
    </w:p>
    <w:p w14:paraId="3AB32BB4">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确定园区产业定位、开发规模、强度、结构、布局和时序。提高园区产业准入标准，确定入园企业亩均投资和亩均税收标准，推进土地节约集约利用。鼓励合作共建园区，优化整合区内现有中小企业园，发展一区多园、园中园和飞地园区。推动园区产业转型升级，加快“僵尸企业”“僵尸项目”处置。支持园区道路、给排水、供电、供气、信息化平台等基础设施建设，提升园区承载功能。明确园区管理机构职能定位，强化招商引资、投资服务、经济运行等功能，增强工业园区管理机构服务企业的积极性、主动性。</w:t>
      </w:r>
    </w:p>
    <w:p w14:paraId="45343D2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4" w:name="_Toc66442960"/>
      <w:r>
        <w:rPr>
          <w:rFonts w:hint="eastAsia" w:ascii="Times New Roman" w:hAnsi="Times New Roman" w:cs="宋体"/>
          <w:bCs w:val="0"/>
          <w:sz w:val="32"/>
          <w:szCs w:val="24"/>
        </w:rPr>
        <w:t>第四节 加快产业基础再造和链条提升</w:t>
      </w:r>
      <w:bookmarkEnd w:id="124"/>
    </w:p>
    <w:p w14:paraId="2E7F4F2E">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推进产业基础高级化</w:t>
      </w:r>
    </w:p>
    <w:p w14:paraId="4C65AFC7">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实施产业基础再造工程，加大重要产品和关键核心技术攻关力度，重点加大对基础零部件、关键材料、工业软件和新型基础设施等领域投入力度，以5G工业互联网的集成创新和融合应用为突破口，大力发展数字经济，加强数据汇集整合应用和开放共享，加快建设信息网络基础设施、智能应用场景、工业互联网平台、大数据中心、新能源汽车充电桩、智慧化交通等基础设施，加快构建以新一代信息技术和以数字化为核心的新型基础设施，支撑制造业数字化、网络化、智能化、绿色化发展。</w:t>
      </w:r>
    </w:p>
    <w:p w14:paraId="1C66B58F">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促进产业链条现代化</w:t>
      </w:r>
    </w:p>
    <w:p w14:paraId="12A59BD2">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围绕5个先进制造业集群，组织实施一批重大基础研究项目和科技成果转化项目，突破核心技术、关键环节，提升基础材料、基础零部件、基础工艺和基础技术的产业发展水平；鼓励大型龙头企业利用市场地位和技术优势，以并购、引进、参股等方式提升产业的垂直整合度；优化产业配套半径，建立龙头企业配套备选清单，确保产业链的自主可控、安全可靠。逐步形成以关键技术关键环节为支撑、创新链和产业链深度融合的格局。促进服务业和制造业深度融合发展，向服务型制造延伸，提升产业链水平。</w:t>
      </w:r>
    </w:p>
    <w:p w14:paraId="1BA5137A">
      <w:pPr>
        <w:numPr>
          <w:ilvl w:val="0"/>
          <w:numId w:val="8"/>
        </w:numPr>
        <w:adjustRightInd w:val="0"/>
        <w:snapToGrid w:val="0"/>
        <w:spacing w:line="600" w:lineRule="exact"/>
        <w:ind w:firstLine="643" w:firstLineChars="200"/>
        <w:outlineLvl w:val="2"/>
        <w:rPr>
          <w:rFonts w:ascii="Times New Roman" w:hAnsi="Times New Roman" w:eastAsia="楷体"/>
          <w:b/>
          <w:bCs/>
          <w:sz w:val="32"/>
          <w:szCs w:val="32"/>
        </w:rPr>
      </w:pPr>
      <w:r>
        <w:rPr>
          <w:rFonts w:ascii="Times New Roman" w:hAnsi="Times New Roman" w:eastAsia="楷体"/>
          <w:b/>
          <w:bCs/>
          <w:sz w:val="32"/>
          <w:szCs w:val="32"/>
        </w:rPr>
        <w:t>提升产品质量</w:t>
      </w:r>
      <w:r>
        <w:rPr>
          <w:rFonts w:hint="eastAsia" w:ascii="Times New Roman" w:hAnsi="Times New Roman" w:eastAsia="楷体"/>
          <w:b/>
          <w:bCs/>
          <w:sz w:val="32"/>
          <w:szCs w:val="32"/>
        </w:rPr>
        <w:t>品</w:t>
      </w:r>
      <w:r>
        <w:rPr>
          <w:rFonts w:ascii="Times New Roman" w:hAnsi="Times New Roman" w:eastAsia="楷体"/>
          <w:b/>
          <w:bCs/>
          <w:sz w:val="32"/>
          <w:szCs w:val="32"/>
        </w:rPr>
        <w:t>牌</w:t>
      </w:r>
      <w:r>
        <w:rPr>
          <w:rFonts w:hint="eastAsia" w:ascii="Times New Roman" w:hAnsi="Times New Roman" w:eastAsia="楷体"/>
          <w:b/>
          <w:bCs/>
          <w:sz w:val="32"/>
          <w:szCs w:val="32"/>
        </w:rPr>
        <w:t>化</w:t>
      </w:r>
    </w:p>
    <w:p w14:paraId="5755169C">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加强质量标准品牌建设，深入贯彻质量强省战略，坚持质量、标准、品牌“三位一体”推进，全面提升</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宝鸡制造·金台配套</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产品质量和品牌形象，引导企业增强品牌意识，培育壮大产品品牌和企业品牌。鼓励中小企业加强质量管理，支持企业增强质量在线监测、在线控制和产品全生命周期质量追溯能力，提升品牌价值。以石油钻采、轨道交通等优势产业的领军企业为重点，推广普及适宜的先进生产管理模式和方法，不断提高产品质量和安全性。</w:t>
      </w:r>
    </w:p>
    <w:p w14:paraId="7101126F">
      <w:pPr>
        <w:pStyle w:val="8"/>
        <w:sectPr>
          <w:pgSz w:w="11907" w:h="16840"/>
          <w:pgMar w:top="1440" w:right="1474" w:bottom="1440" w:left="1588" w:header="851" w:footer="992" w:gutter="0"/>
          <w:cols w:space="425" w:num="1"/>
          <w:docGrid w:linePitch="312" w:charSpace="0"/>
        </w:sectPr>
      </w:pPr>
    </w:p>
    <w:p w14:paraId="2D97F56F">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5" w:name="_Toc66442961"/>
      <w:r>
        <w:rPr>
          <w:rFonts w:hint="eastAsia" w:eastAsia="方正小标宋简体"/>
          <w:b w:val="0"/>
          <w:iCs/>
          <w:kern w:val="2"/>
          <w:sz w:val="36"/>
          <w:szCs w:val="36"/>
        </w:rPr>
        <w:t>全面提升国际化水平，构建</w:t>
      </w:r>
      <w:r>
        <w:rPr>
          <w:rFonts w:eastAsia="方正小标宋简体"/>
          <w:b w:val="0"/>
          <w:iCs/>
          <w:kern w:val="2"/>
          <w:sz w:val="36"/>
          <w:szCs w:val="36"/>
        </w:rPr>
        <w:t>现代</w:t>
      </w:r>
      <w:r>
        <w:rPr>
          <w:rFonts w:hint="eastAsia" w:eastAsia="方正小标宋简体"/>
          <w:b w:val="0"/>
          <w:iCs/>
          <w:kern w:val="2"/>
          <w:sz w:val="36"/>
          <w:szCs w:val="36"/>
        </w:rPr>
        <w:t>服务业新体系</w:t>
      </w:r>
      <w:bookmarkEnd w:id="125"/>
    </w:p>
    <w:p w14:paraId="6F3E85E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加快传统商贸服务业供给侧改革，推动生活性服务业高标准、高品质、多样化、品牌化发展，促进生产性服务业向专业化和价值链高端延伸，大力发展楼宇经济，推动现代服务业与先进制造业深度融合。到</w:t>
      </w:r>
      <w:r>
        <w:rPr>
          <w:rFonts w:ascii="Times New Roman" w:hAnsi="Times New Roman" w:eastAsia="仿宋_GB2312" w:cs="仿宋_GB2312"/>
          <w:sz w:val="32"/>
          <w:szCs w:val="32"/>
        </w:rPr>
        <w:t>2025年，</w:t>
      </w:r>
      <w:r>
        <w:rPr>
          <w:rFonts w:hint="eastAsia" w:ascii="Times New Roman" w:hAnsi="Times New Roman" w:eastAsia="仿宋_GB2312" w:cs="仿宋_GB2312"/>
          <w:sz w:val="32"/>
          <w:szCs w:val="32"/>
        </w:rPr>
        <w:t>现代服务业聚集新高地格局初步形成，全社会消费品零售总额年均增长</w:t>
      </w:r>
      <w:r>
        <w:rPr>
          <w:rFonts w:ascii="Times New Roman" w:hAnsi="Times New Roman" w:eastAsia="仿宋_GB2312" w:cs="仿宋_GB2312"/>
          <w:sz w:val="32"/>
          <w:szCs w:val="32"/>
        </w:rPr>
        <w:t>7%以上</w:t>
      </w:r>
      <w:r>
        <w:rPr>
          <w:rFonts w:hint="eastAsia" w:ascii="Times New Roman" w:hAnsi="Times New Roman" w:eastAsia="仿宋_GB2312" w:cs="仿宋_GB2312"/>
          <w:sz w:val="32"/>
          <w:szCs w:val="32"/>
        </w:rPr>
        <w:t>，现代</w:t>
      </w:r>
      <w:r>
        <w:rPr>
          <w:rFonts w:ascii="Times New Roman" w:hAnsi="Times New Roman" w:eastAsia="仿宋_GB2312" w:cs="仿宋_GB2312"/>
          <w:sz w:val="32"/>
          <w:szCs w:val="32"/>
        </w:rPr>
        <w:t>服务业</w:t>
      </w:r>
      <w:r>
        <w:rPr>
          <w:rFonts w:hint="eastAsia" w:ascii="Times New Roman" w:hAnsi="Times New Roman" w:eastAsia="仿宋_GB2312" w:cs="仿宋_GB2312"/>
          <w:sz w:val="32"/>
          <w:szCs w:val="32"/>
        </w:rPr>
        <w:t>增加值</w:t>
      </w:r>
      <w:r>
        <w:rPr>
          <w:rFonts w:ascii="Times New Roman" w:hAnsi="Times New Roman" w:eastAsia="仿宋_GB2312" w:cs="仿宋_GB2312"/>
          <w:sz w:val="32"/>
          <w:szCs w:val="32"/>
        </w:rPr>
        <w:t>占地区生产总值比重达到</w:t>
      </w:r>
      <w:r>
        <w:rPr>
          <w:rFonts w:hint="eastAsia" w:ascii="Times New Roman" w:hAnsi="Times New Roman" w:eastAsia="仿宋_GB2312" w:cs="仿宋_GB2312"/>
          <w:sz w:val="32"/>
          <w:szCs w:val="32"/>
        </w:rPr>
        <w:t>30</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以上，生产性服务业增加值占服务业的比重达到</w:t>
      </w:r>
      <w:r>
        <w:rPr>
          <w:rFonts w:ascii="Times New Roman" w:hAnsi="Times New Roman" w:eastAsia="仿宋_GB2312" w:cs="仿宋_GB2312"/>
          <w:sz w:val="32"/>
          <w:szCs w:val="32"/>
        </w:rPr>
        <w:t>50%左右</w:t>
      </w:r>
      <w:r>
        <w:rPr>
          <w:rFonts w:hint="eastAsia" w:ascii="Times New Roman" w:hAnsi="Times New Roman" w:eastAsia="仿宋_GB2312" w:cs="仿宋_GB2312"/>
          <w:sz w:val="32"/>
          <w:szCs w:val="32"/>
        </w:rPr>
        <w:t>，亿元以上商贸企业达到</w:t>
      </w:r>
      <w:r>
        <w:rPr>
          <w:rFonts w:ascii="Times New Roman" w:hAnsi="Times New Roman" w:eastAsia="仿宋_GB2312" w:cs="仿宋_GB2312"/>
          <w:sz w:val="32"/>
          <w:szCs w:val="32"/>
        </w:rPr>
        <w:t>20户。</w:t>
      </w:r>
      <w:r>
        <w:rPr>
          <w:rFonts w:hint="eastAsia" w:ascii="Times New Roman" w:hAnsi="Times New Roman" w:eastAsia="仿宋_GB2312" w:cs="仿宋_GB2312"/>
          <w:sz w:val="32"/>
          <w:szCs w:val="32"/>
        </w:rPr>
        <w:t>到</w:t>
      </w:r>
      <w:r>
        <w:rPr>
          <w:rFonts w:ascii="Times New Roman" w:hAnsi="Times New Roman" w:eastAsia="仿宋_GB2312" w:cs="仿宋_GB2312"/>
          <w:sz w:val="32"/>
          <w:szCs w:val="32"/>
        </w:rPr>
        <w:t>2035年，</w:t>
      </w:r>
      <w:r>
        <w:rPr>
          <w:rFonts w:hint="eastAsia" w:ascii="Times New Roman" w:hAnsi="Times New Roman" w:eastAsia="仿宋_GB2312" w:cs="仿宋_GB2312"/>
          <w:sz w:val="32"/>
          <w:szCs w:val="32"/>
        </w:rPr>
        <w:t>建成现代服务业聚集新高地。</w:t>
      </w:r>
    </w:p>
    <w:p w14:paraId="03459BE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6" w:name="_Toc66442962"/>
      <w:r>
        <w:rPr>
          <w:rFonts w:hint="eastAsia" w:ascii="Times New Roman" w:hAnsi="Times New Roman" w:cs="宋体"/>
          <w:bCs w:val="0"/>
          <w:sz w:val="32"/>
          <w:szCs w:val="24"/>
        </w:rPr>
        <w:t xml:space="preserve">第一节 </w:t>
      </w:r>
      <w:r>
        <w:rPr>
          <w:rFonts w:ascii="Times New Roman" w:hAnsi="Times New Roman" w:cs="宋体"/>
          <w:bCs w:val="0"/>
          <w:sz w:val="32"/>
          <w:szCs w:val="24"/>
        </w:rPr>
        <w:t>全面提升生活性服务业</w:t>
      </w:r>
      <w:bookmarkEnd w:id="126"/>
    </w:p>
    <w:p w14:paraId="3A75993A">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大力发展健康服务</w:t>
      </w:r>
    </w:p>
    <w:p w14:paraId="487DBDF7">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做好大健康养生及医药生物产业，全力打造健康养生城区。创新发展“医、护、康、养”系统融合，在六川河、胜利塬、蟠龙高新区等环境优越区域建设国际化、高端化、品牌化医疗康养中心、养生保健中心、托养中心、养老活动中心和养老示范公寓等项目，完善高品质生活配套设施，围绕中医、中药、养生三大领域，大力发展医疗康养产业链，打造区域医疗康养中心。</w:t>
      </w:r>
    </w:p>
    <w:p w14:paraId="29094389">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提升现代商贸服务</w:t>
      </w:r>
    </w:p>
    <w:p w14:paraId="1AAE8151">
      <w:pPr>
        <w:widowControl w:val="0"/>
        <w:adjustRightInd w:val="0"/>
        <w:snapToGrid w:val="0"/>
        <w:spacing w:line="560" w:lineRule="exact"/>
        <w:ind w:firstLine="640" w:firstLineChars="200"/>
        <w:jc w:val="both"/>
        <w:rPr>
          <w:rFonts w:ascii="Times New Roman" w:hAnsi="Times New Roman" w:eastAsia="仿宋_GB2312"/>
          <w:b/>
          <w:sz w:val="32"/>
          <w:szCs w:val="32"/>
        </w:rPr>
      </w:pPr>
      <w:r>
        <w:rPr>
          <w:rFonts w:hint="eastAsia" w:ascii="Times New Roman" w:hAnsi="Times New Roman" w:eastAsia="仿宋_GB2312" w:cs="仿宋_GB2312"/>
          <w:sz w:val="32"/>
          <w:szCs w:val="32"/>
        </w:rPr>
        <w:t>加快推进传统商贸市场、购物中心、商业综合体改造升级，建设一批高档三产设施，引进一批知名连锁企业，打造一批</w:t>
      </w:r>
      <w:r>
        <w:rPr>
          <w:rFonts w:hint="eastAsia" w:ascii="Times New Roman" w:hAnsi="Times New Roman" w:eastAsia="仿宋_GB2312"/>
          <w:sz w:val="32"/>
          <w:szCs w:val="32"/>
        </w:rPr>
        <w:t>财税过千万元的</w:t>
      </w:r>
      <w:r>
        <w:rPr>
          <w:rFonts w:hint="eastAsia" w:ascii="Times New Roman" w:hAnsi="Times New Roman" w:eastAsia="仿宋_GB2312" w:cs="仿宋_GB2312"/>
          <w:sz w:val="32"/>
          <w:szCs w:val="32"/>
        </w:rPr>
        <w:t>特色街区，建设区级高端大型市场集群；优化区级商贸服务布局，培育</w:t>
      </w:r>
      <w:r>
        <w:rPr>
          <w:rFonts w:hint="eastAsia" w:ascii="Times New Roman" w:hAnsi="Times New Roman" w:eastAsia="仿宋_GB2312"/>
          <w:sz w:val="32"/>
          <w:szCs w:val="32"/>
        </w:rPr>
        <w:t>消费领域新增长点</w:t>
      </w:r>
      <w:r>
        <w:rPr>
          <w:rFonts w:hint="eastAsia" w:ascii="Times New Roman" w:hAnsi="Times New Roman" w:eastAsia="仿宋_GB2312" w:cs="仿宋_GB2312"/>
          <w:sz w:val="32"/>
          <w:szCs w:val="32"/>
        </w:rPr>
        <w:t>，积极发展商贸服务新业态和新模式。持续推进东岭、世纪荟萃广场、斗中路商务区暨宝鸡汇智中心、秦岭市场、第五大道特色商圈、蓝光耍街MIX、跃进路商业综合体及宝鸡时代广场等一批重点项目建设。</w:t>
      </w:r>
    </w:p>
    <w:p w14:paraId="5FE99BD9">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创新家庭社区服务</w:t>
      </w:r>
    </w:p>
    <w:p w14:paraId="4D5D40BD">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cs="仿宋_GB2312"/>
          <w:sz w:val="32"/>
          <w:szCs w:val="32"/>
        </w:rPr>
        <w:t>大</w:t>
      </w:r>
      <w:r>
        <w:rPr>
          <w:rFonts w:hint="eastAsia" w:ascii="仿宋_GB2312" w:hAnsi="仿宋_GB2312" w:eastAsia="仿宋_GB2312" w:cs="仿宋_GB2312"/>
          <w:sz w:val="32"/>
          <w:szCs w:val="32"/>
        </w:rPr>
        <w:t>力推进公共服务设施建设，不断提升镇（街道）、村（社区）设施服务能力，以居民需求为导向，完善15分钟生活圈，积极打造智慧社区，规范家政服务</w:t>
      </w:r>
      <w:r>
        <w:rPr>
          <w:rFonts w:hint="eastAsia" w:ascii="仿宋_GB2312" w:hAnsi="仿宋_GB2312" w:eastAsia="仿宋_GB2312" w:cs="仿宋_GB2312"/>
          <w:spacing w:val="-2"/>
          <w:sz w:val="32"/>
          <w:szCs w:val="32"/>
        </w:rPr>
        <w:t>行业管理模式，提升家政行业服务水平，完善发展家庭社区服务体系，推进早餐工程、便民商业发展，增强生活服务功能</w:t>
      </w:r>
      <w:r>
        <w:rPr>
          <w:rFonts w:hint="eastAsia" w:ascii="仿宋_GB2312" w:hAnsi="仿宋_GB2312" w:eastAsia="仿宋_GB2312" w:cs="仿宋_GB2312"/>
          <w:sz w:val="32"/>
          <w:szCs w:val="32"/>
        </w:rPr>
        <w:t>。</w:t>
      </w:r>
    </w:p>
    <w:p w14:paraId="519AF19F">
      <w:pPr>
        <w:numPr>
          <w:ilvl w:val="0"/>
          <w:numId w:val="9"/>
        </w:numPr>
        <w:adjustRightInd w:val="0"/>
        <w:snapToGrid w:val="0"/>
        <w:spacing w:line="600" w:lineRule="exact"/>
        <w:ind w:firstLine="640"/>
        <w:outlineLvl w:val="2"/>
        <w:rPr>
          <w:rFonts w:ascii="Times New Roman" w:hAnsi="Times New Roman" w:eastAsia="楷体"/>
          <w:b/>
          <w:bCs/>
          <w:sz w:val="32"/>
          <w:szCs w:val="32"/>
        </w:rPr>
      </w:pPr>
      <w:r>
        <w:rPr>
          <w:rFonts w:hint="eastAsia" w:ascii="Times New Roman" w:hAnsi="Times New Roman" w:eastAsia="楷体"/>
          <w:b/>
          <w:bCs/>
          <w:sz w:val="32"/>
          <w:szCs w:val="32"/>
        </w:rPr>
        <w:t>夜间经济产业</w:t>
      </w:r>
    </w:p>
    <w:p w14:paraId="66C7D38D">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科学有序发展夜间经济，在商贸中心、政务中心和文化旅游景区等区域建设3-5个特色化、品牌化的夜间特色文化街区，形成宝鸡夜间经济文化生活主题街区，打造夜经济IP品牌。</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4A01CB2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34C8F8CD">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4 </w:t>
            </w:r>
            <w:r>
              <w:rPr>
                <w:rFonts w:hint="eastAsia" w:ascii="Times New Roman" w:hAnsi="Times New Roman" w:eastAsia="黑体"/>
                <w:sz w:val="28"/>
                <w:szCs w:val="28"/>
              </w:rPr>
              <w:t>生活性服务业重大项目</w:t>
            </w:r>
          </w:p>
        </w:tc>
      </w:tr>
      <w:tr w14:paraId="298C7B4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6" w:hRule="atLeast"/>
        </w:trPr>
        <w:tc>
          <w:tcPr>
            <w:tcW w:w="5000" w:type="pct"/>
          </w:tcPr>
          <w:p w14:paraId="5027D78E">
            <w:pPr>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1.金台区跃进路商业综合体项目。</w:t>
            </w:r>
            <w:r>
              <w:rPr>
                <w:rFonts w:hint="eastAsia" w:ascii="仿宋_GB2312" w:hAnsi="仿宋_GB2312" w:eastAsia="仿宋_GB2312" w:cs="仿宋_GB2312"/>
                <w:bCs/>
                <w:sz w:val="28"/>
                <w:szCs w:val="28"/>
              </w:rPr>
              <w:t>建设集购物、娱乐、餐饮、亲子活动于一体的商业综合体，投资约5亿元。</w:t>
            </w:r>
          </w:p>
          <w:p w14:paraId="2D563BB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2.联盟第五大道特色商圈项目。</w:t>
            </w:r>
            <w:r>
              <w:rPr>
                <w:rFonts w:hint="eastAsia" w:ascii="仿宋_GB2312" w:hAnsi="仿宋_GB2312" w:eastAsia="仿宋_GB2312" w:cs="仿宋_GB2312"/>
                <w:sz w:val="28"/>
                <w:szCs w:val="28"/>
              </w:rPr>
              <w:t>对沿街建筑墙体外立面美化改造，提升改造第五大道街区整体形象，投资约1亿元。</w:t>
            </w:r>
          </w:p>
          <w:p w14:paraId="1EE69FB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3.金台区秦岭农贸市场建设项目。</w:t>
            </w:r>
            <w:r>
              <w:rPr>
                <w:rFonts w:hint="eastAsia" w:ascii="仿宋_GB2312" w:hAnsi="仿宋_GB2312" w:eastAsia="仿宋_GB2312" w:cs="仿宋_GB2312"/>
                <w:sz w:val="28"/>
                <w:szCs w:val="28"/>
              </w:rPr>
              <w:t>秦岭综合市场提升改造，投资约0.5亿元。</w:t>
            </w:r>
          </w:p>
          <w:p w14:paraId="3252664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4.蟠龙商业街区项目。</w:t>
            </w:r>
            <w:r>
              <w:rPr>
                <w:rFonts w:hint="eastAsia" w:ascii="仿宋_GB2312" w:hAnsi="仿宋_GB2312" w:eastAsia="仿宋_GB2312" w:cs="仿宋_GB2312"/>
                <w:sz w:val="28"/>
                <w:szCs w:val="28"/>
              </w:rPr>
              <w:t>建设商业综合体、高品质商务酒店、办公及配套设施等，投资约8亿元。</w:t>
            </w:r>
          </w:p>
          <w:p w14:paraId="6B120E5E">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5.蟠龙高新区锦华国际商业中心项目。</w:t>
            </w:r>
            <w:r>
              <w:rPr>
                <w:rFonts w:hint="eastAsia" w:ascii="仿宋_GB2312" w:hAnsi="仿宋_GB2312" w:eastAsia="仿宋_GB2312" w:cs="仿宋_GB2312"/>
                <w:sz w:val="28"/>
                <w:szCs w:val="28"/>
              </w:rPr>
              <w:t>建设以商业零售业、日韩进口商品区、威高医疗器械区为主的城市商业综合体，投资约8亿元。</w:t>
            </w:r>
          </w:p>
          <w:p w14:paraId="7C429B6A">
            <w:pPr>
              <w:widowControl w:val="0"/>
              <w:adjustRightInd w:val="0"/>
              <w:snapToGrid w:val="0"/>
              <w:spacing w:line="40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6.鑫苑大都汇（世纪荟萃广场二期）。</w:t>
            </w:r>
            <w:r>
              <w:rPr>
                <w:rFonts w:hint="eastAsia" w:ascii="仿宋_GB2312" w:hAnsi="仿宋_GB2312" w:eastAsia="仿宋_GB2312" w:cs="仿宋_GB2312"/>
                <w:bCs/>
                <w:sz w:val="28"/>
                <w:szCs w:val="28"/>
              </w:rPr>
              <w:t>建设包含高端购物中心、超品质写字楼、精装公寓、星级酒店等多种物业形态</w:t>
            </w:r>
            <w:r>
              <w:rPr>
                <w:rFonts w:ascii="仿宋_GB2312" w:hAnsi="仿宋_GB2312" w:eastAsia="仿宋_GB2312" w:cs="仿宋_GB2312"/>
                <w:bCs/>
                <w:sz w:val="28"/>
                <w:szCs w:val="28"/>
              </w:rPr>
              <w:t>于一体的大型城市综合体</w:t>
            </w:r>
            <w:r>
              <w:rPr>
                <w:rFonts w:hint="eastAsia" w:ascii="仿宋_GB2312" w:hAnsi="仿宋_GB2312" w:eastAsia="仿宋_GB2312" w:cs="仿宋_GB2312"/>
                <w:bCs/>
                <w:sz w:val="28"/>
                <w:szCs w:val="28"/>
              </w:rPr>
              <w:t>，投资约5亿元。</w:t>
            </w:r>
          </w:p>
          <w:p w14:paraId="62814903">
            <w:pPr>
              <w:pStyle w:val="8"/>
              <w:ind w:firstLine="562"/>
            </w:pPr>
            <w:r>
              <w:rPr>
                <w:rFonts w:hint="eastAsia" w:ascii="仿宋_GB2312" w:hAnsi="仿宋_GB2312" w:eastAsia="仿宋_GB2312" w:cs="仿宋_GB2312"/>
                <w:b/>
                <w:bCs/>
                <w:sz w:val="28"/>
                <w:szCs w:val="28"/>
              </w:rPr>
              <w:t>7.蓝光耍街</w:t>
            </w:r>
            <w:r>
              <w:rPr>
                <w:rFonts w:ascii="仿宋_GB2312" w:hAnsi="仿宋_GB2312" w:eastAsia="仿宋_GB2312" w:cs="仿宋_GB2312"/>
                <w:b/>
                <w:bCs/>
                <w:sz w:val="28"/>
                <w:szCs w:val="28"/>
              </w:rPr>
              <w:t>MIX</w:t>
            </w:r>
            <w:r>
              <w:rPr>
                <w:rFonts w:hint="eastAsia" w:ascii="仿宋_GB2312" w:hAnsi="仿宋_GB2312" w:eastAsia="仿宋_GB2312" w:cs="仿宋_GB2312"/>
                <w:b/>
                <w:bCs/>
                <w:sz w:val="28"/>
                <w:szCs w:val="28"/>
              </w:rPr>
              <w:t>。</w:t>
            </w:r>
            <w:r>
              <w:rPr>
                <w:rFonts w:hint="eastAsia" w:ascii="仿宋_GB2312" w:hAnsi="仿宋_GB2312" w:eastAsia="仿宋_GB2312" w:cs="仿宋_GB2312"/>
                <w:bCs/>
                <w:sz w:val="28"/>
                <w:szCs w:val="28"/>
              </w:rPr>
              <w:t>打造集餐饮、娱乐、办公、公寓等多元化的商业综合体，投资约40亿元。</w:t>
            </w:r>
          </w:p>
        </w:tc>
      </w:tr>
    </w:tbl>
    <w:p w14:paraId="39578D5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7" w:name="_Toc66442963"/>
      <w:r>
        <w:rPr>
          <w:rFonts w:hint="eastAsia" w:ascii="Times New Roman" w:hAnsi="Times New Roman" w:cs="宋体"/>
          <w:bCs w:val="0"/>
          <w:sz w:val="32"/>
          <w:szCs w:val="24"/>
        </w:rPr>
        <w:t>第二节 大力发展生产性服务业</w:t>
      </w:r>
      <w:bookmarkEnd w:id="127"/>
    </w:p>
    <w:p w14:paraId="006336B9">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建立多层次、多元化、开放型金融体系</w:t>
      </w:r>
    </w:p>
    <w:p w14:paraId="3F12198C">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加快推进宝鸡金融文化商务区建设，积极培育与引入保险、证券、创投基金等金融主体，完善传统金融产业链，大力发展供应链金融，重点对装备制造、物流等产业链企业提供供应链融资服务，打造全市金融创新试验区、金融产业展示区、金融服务聚集区。支持金融机构扩大服务范围，把更多的信贷资源配置到基础设施建设、文化旅游等领域，带动第三产业提速发展。</w:t>
      </w:r>
    </w:p>
    <w:p w14:paraId="140918DE">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全面提升物流业集约化发展水平</w:t>
      </w:r>
    </w:p>
    <w:p w14:paraId="2308B0FC">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构建覆盖全区、联通周边的物流节点网络，形成可持续发展的交通物流服务体系。以东站货运中心、长靖物流园等物流企业为依托，鼓励中小物流企业加强联盟合作，建设综合现代物流园区，镇级建立“三农综合服务基地”，</w:t>
      </w:r>
      <w:r>
        <w:rPr>
          <w:rFonts w:hint="eastAsia"/>
        </w:rPr>
        <w:t xml:space="preserve"> </w:t>
      </w:r>
      <w:r>
        <w:rPr>
          <w:rFonts w:hint="eastAsia" w:ascii="Times New Roman" w:hAnsi="Times New Roman" w:eastAsia="仿宋_GB2312" w:cs="仿宋_GB2312"/>
          <w:sz w:val="32"/>
          <w:szCs w:val="32"/>
        </w:rPr>
        <w:t>村级建立“三农服务站”。加快发展配套物流业，建设物流公共信息平台和枢纽式物流园，加大信息平台推广使用力度，提升运行质量和服务水平。</w:t>
      </w:r>
    </w:p>
    <w:p w14:paraId="326B9760">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发展新兴服务业态</w:t>
      </w:r>
    </w:p>
    <w:p w14:paraId="47D10468">
      <w:pPr>
        <w:widowControl w:val="0"/>
        <w:adjustRightInd w:val="0"/>
        <w:snapToGrid w:val="0"/>
        <w:spacing w:line="55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法律咨询、项目包装、纳税服务、产权交易、投资与资产管理服务、信息服务、设计服务、市场调查、审计评价等知识型、信息型、技术型服务业，扶持中介机构向品牌化、综合化、规模化发展。加强中介服务行业信用建设，建立信用评级授信制度，健全风险防范机制，依法规范中介服务企业执业行为，提高中介服务企业竞争能力和服务水平。</w:t>
      </w:r>
    </w:p>
    <w:p w14:paraId="65B2AFA4">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大力发展教育体育服务业</w:t>
      </w:r>
    </w:p>
    <w:p w14:paraId="5B48BE6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注重发展职业教育和技能培训，做大做强区职教中心，推进中北、亚太、振华等职业院校建设，形成与市场相适应、中高职有效衔接的现代化职业教育体系。加大体育场所建设力度，落实市级现代化体育场馆和基础设施建设规划，沿渭河生态公园规划建设城市运动公园、足球场、篮球场等基础设施。开发体育产业项目和品牌，培育一批有竞争力的企业。开拓体育消费市场，积极承办大型国际国内体育赛事，着力打造品牌体育赛事。</w:t>
      </w:r>
    </w:p>
    <w:p w14:paraId="300DB012">
      <w:pPr>
        <w:numPr>
          <w:ilvl w:val="0"/>
          <w:numId w:val="10"/>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提升科技信息服务水平</w:t>
      </w:r>
    </w:p>
    <w:p w14:paraId="6EF352B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主导产业发展，培育科技研发、科技评估、技术产权交易、技术转移等专业服务机构，创新科技服务模式，建设科技企业孵化器、科技信息平台、产品设计中心、经营策划中心、金融服务中心、物流配送服务中心、创业风险投资基金等专业平台，提升技术成果转化效率，扩大技术交易规模。</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286A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21EB2D9">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5 </w:t>
            </w:r>
            <w:r>
              <w:rPr>
                <w:rFonts w:hint="eastAsia" w:ascii="Times New Roman" w:hAnsi="Times New Roman" w:eastAsia="黑体"/>
                <w:sz w:val="28"/>
                <w:szCs w:val="28"/>
              </w:rPr>
              <w:t>生产性服务业重大项目</w:t>
            </w:r>
          </w:p>
        </w:tc>
      </w:tr>
      <w:tr w14:paraId="1923C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F1DED3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1.蟠龙金融大厦项目。</w:t>
            </w:r>
            <w:r>
              <w:rPr>
                <w:rFonts w:hint="eastAsia" w:ascii="仿宋_GB2312" w:hAnsi="仿宋_GB2312" w:eastAsia="仿宋_GB2312" w:cs="仿宋_GB2312"/>
                <w:sz w:val="28"/>
                <w:szCs w:val="28"/>
              </w:rPr>
              <w:t>引入银行、证券、融资租赁、财务咨询、保险类等，投资约4亿元。</w:t>
            </w:r>
          </w:p>
          <w:p w14:paraId="23D89903">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2.蟠龙高新区冷链基地。</w:t>
            </w:r>
            <w:r>
              <w:rPr>
                <w:rFonts w:hint="eastAsia" w:ascii="仿宋_GB2312" w:hAnsi="仿宋_GB2312" w:eastAsia="仿宋_GB2312" w:cs="仿宋_GB2312"/>
                <w:sz w:val="28"/>
                <w:szCs w:val="28"/>
              </w:rPr>
              <w:t>建设生活居家场、冷鲜场等，投资约10.5亿元。</w:t>
            </w:r>
          </w:p>
          <w:p w14:paraId="35D75EEF">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3.蟠龙高新区物流枢纽项目。</w:t>
            </w:r>
            <w:r>
              <w:rPr>
                <w:rFonts w:hint="eastAsia" w:ascii="仿宋_GB2312" w:hAnsi="仿宋_GB2312" w:eastAsia="仿宋_GB2312" w:cs="仿宋_GB2312"/>
                <w:sz w:val="28"/>
                <w:szCs w:val="28"/>
              </w:rPr>
              <w:t>开展多式联运，抓好货运配送及物流基地建设，打造全国货物集散中心，投资约10亿元。</w:t>
            </w:r>
          </w:p>
          <w:p w14:paraId="554EC9ED">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4.西部物流配送中心建设项目。</w:t>
            </w:r>
            <w:r>
              <w:rPr>
                <w:rFonts w:hint="eastAsia" w:ascii="仿宋_GB2312" w:hAnsi="仿宋_GB2312" w:eastAsia="仿宋_GB2312" w:cs="仿宋_GB2312"/>
                <w:sz w:val="28"/>
                <w:szCs w:val="28"/>
              </w:rPr>
              <w:t>建设西部大型物流配送中心，投资约2亿元。</w:t>
            </w:r>
          </w:p>
          <w:p w14:paraId="0CC7001F">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5.金台区长靖农产品批发物流配送市场项目。</w:t>
            </w:r>
            <w:r>
              <w:rPr>
                <w:rFonts w:hint="eastAsia" w:ascii="仿宋_GB2312" w:hAnsi="仿宋_GB2312" w:eastAsia="仿宋_GB2312" w:cs="仿宋_GB2312"/>
                <w:sz w:val="28"/>
                <w:szCs w:val="28"/>
              </w:rPr>
              <w:t>建设现代化大型农产品批发市场，投资约3.6亿元。</w:t>
            </w:r>
          </w:p>
          <w:p w14:paraId="210A1BCA">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6.蟠龙西部体育产业园项目。</w:t>
            </w:r>
            <w:r>
              <w:rPr>
                <w:rFonts w:hint="eastAsia" w:ascii="仿宋_GB2312" w:hAnsi="仿宋_GB2312" w:eastAsia="仿宋_GB2312" w:cs="仿宋_GB2312"/>
                <w:sz w:val="28"/>
                <w:szCs w:val="28"/>
              </w:rPr>
              <w:t>建有集研发中心、检测中心、展示中心、服务中心等为一体的综合服务平台，投资约26亿元。</w:t>
            </w:r>
          </w:p>
          <w:p w14:paraId="0E0C6B8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7.蟠龙教育大厦项目。</w:t>
            </w:r>
            <w:r>
              <w:rPr>
                <w:rFonts w:hint="eastAsia" w:ascii="仿宋_GB2312" w:hAnsi="仿宋_GB2312" w:eastAsia="仿宋_GB2312" w:cs="仿宋_GB2312"/>
                <w:sz w:val="28"/>
                <w:szCs w:val="28"/>
              </w:rPr>
              <w:t>引入教育培训机构、教育软件与研发、教育直播平台等，投资约4亿元。</w:t>
            </w:r>
          </w:p>
        </w:tc>
      </w:tr>
    </w:tbl>
    <w:p w14:paraId="65FEDA97">
      <w:pPr>
        <w:pStyle w:val="8"/>
        <w:ind w:firstLine="0" w:firstLineChars="0"/>
      </w:pPr>
    </w:p>
    <w:p w14:paraId="3C8E0060">
      <w:pPr>
        <w:pStyle w:val="8"/>
        <w:ind w:firstLine="0" w:firstLineChars="0"/>
      </w:pPr>
    </w:p>
    <w:p w14:paraId="3E057933">
      <w:pPr>
        <w:pStyle w:val="8"/>
        <w:ind w:firstLine="0" w:firstLineChars="0"/>
      </w:pPr>
    </w:p>
    <w:p w14:paraId="0C07D052">
      <w:pPr>
        <w:pStyle w:val="8"/>
        <w:ind w:firstLine="0" w:firstLineChars="0"/>
      </w:pPr>
    </w:p>
    <w:p w14:paraId="61AAE35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28" w:name="_Toc66442964"/>
      <w:r>
        <w:rPr>
          <w:rFonts w:hint="eastAsia" w:ascii="Times New Roman" w:hAnsi="Times New Roman" w:cs="宋体"/>
          <w:bCs w:val="0"/>
          <w:sz w:val="32"/>
          <w:szCs w:val="24"/>
        </w:rPr>
        <w:t>第三节 大力发展楼宇经济</w:t>
      </w:r>
      <w:bookmarkEnd w:id="128"/>
    </w:p>
    <w:p w14:paraId="00E9624E">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促进楼宇建设</w:t>
      </w:r>
    </w:p>
    <w:p w14:paraId="03E10B8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以《金台区支持总部经济发展办法》和《金台区加快楼宇经济发展三年行动方案》为引领，</w:t>
      </w:r>
      <w:r>
        <w:rPr>
          <w:rFonts w:ascii="Times New Roman" w:hAnsi="Times New Roman" w:eastAsia="仿宋_GB2312" w:cs="仿宋_GB2312"/>
          <w:sz w:val="32"/>
          <w:szCs w:val="32"/>
        </w:rPr>
        <w:t>针对已建成楼宇和在建新楼空间布局和业态分布现状</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编制全区楼宇经济发展专项规划和楼宇经济聚集区产业规划</w:t>
      </w:r>
      <w:r>
        <w:rPr>
          <w:rFonts w:hint="eastAsia" w:ascii="Times New Roman" w:hAnsi="Times New Roman" w:eastAsia="仿宋_GB2312" w:cs="仿宋_GB2312"/>
          <w:sz w:val="32"/>
          <w:szCs w:val="32"/>
        </w:rPr>
        <w:t>，统一布局楼宇经济功能区域，合理确定产业定位</w:t>
      </w:r>
      <w:r>
        <w:rPr>
          <w:rFonts w:ascii="Times New Roman" w:hAnsi="Times New Roman" w:eastAsia="仿宋_GB2312" w:cs="仿宋_GB2312"/>
          <w:sz w:val="32"/>
          <w:szCs w:val="32"/>
        </w:rPr>
        <w:t>。提升楼宇承载功能</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鼓励产权方包装策划、改造提升，通过政企联手、专班推进</w:t>
      </w:r>
      <w:r>
        <w:rPr>
          <w:rFonts w:hint="eastAsia" w:ascii="Times New Roman" w:hAnsi="Times New Roman" w:eastAsia="仿宋_GB2312" w:cs="仿宋_GB2312"/>
          <w:sz w:val="32"/>
          <w:szCs w:val="32"/>
        </w:rPr>
        <w:t>，联合招商、精准招商，积极招引“</w:t>
      </w:r>
      <w:r>
        <w:rPr>
          <w:rFonts w:hint="eastAsia" w:ascii="Times New Roman" w:hAnsi="Times New Roman" w:eastAsia="仿宋_GB2312" w:cs="仿宋_GB2312"/>
          <w:sz w:val="32"/>
          <w:szCs w:val="32"/>
          <w:lang w:eastAsia="zh-CN"/>
        </w:rPr>
        <w:t>专精特新</w:t>
      </w:r>
      <w:r>
        <w:rPr>
          <w:rFonts w:hint="eastAsia" w:ascii="Times New Roman" w:hAnsi="Times New Roman" w:eastAsia="仿宋_GB2312" w:cs="仿宋_GB2312"/>
          <w:sz w:val="32"/>
          <w:szCs w:val="32"/>
        </w:rPr>
        <w:t>”和行业“小巨人”</w:t>
      </w:r>
      <w:r>
        <w:rPr>
          <w:rFonts w:ascii="Times New Roman" w:hAnsi="Times New Roman" w:eastAsia="仿宋_GB2312" w:cs="仿宋_GB2312"/>
          <w:sz w:val="32"/>
          <w:szCs w:val="32"/>
        </w:rPr>
        <w:t>等方式招引优质企业,培育壮大主导优势产业</w:t>
      </w:r>
      <w:r>
        <w:rPr>
          <w:rFonts w:hint="eastAsia" w:ascii="Times New Roman" w:hAnsi="Times New Roman" w:eastAsia="仿宋_GB2312" w:cs="仿宋_GB2312"/>
          <w:sz w:val="32"/>
          <w:szCs w:val="32"/>
        </w:rPr>
        <w:t>，着力打造一批亿元级产值楼、千万元级税收楼</w:t>
      </w:r>
      <w:r>
        <w:rPr>
          <w:rFonts w:ascii="Times New Roman" w:hAnsi="Times New Roman" w:eastAsia="仿宋_GB2312" w:cs="仿宋_GB2312"/>
          <w:sz w:val="32"/>
          <w:szCs w:val="32"/>
        </w:rPr>
        <w:t>。</w:t>
      </w:r>
    </w:p>
    <w:p w14:paraId="050FC66F">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培育特色楼宇</w:t>
      </w:r>
    </w:p>
    <w:p w14:paraId="4B06C750">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东岭CCBD、广汇大厦、鹏博财富中心、金泰大厦、西建国际、蟠龙观邸等楼宇为重点，科学合理定位，优化管理服务，加强招商选资，做大产值效益，引进发展潜力大、创新能力强的企业，共同打造特色楼宇，聚力打造行政中心大数据产业、金台大道金融文创产业、大庆路现代服务业、蟠龙高新区科教康养产业等四大楼宇经济聚集区。</w:t>
      </w:r>
    </w:p>
    <w:p w14:paraId="691422CC">
      <w:pPr>
        <w:numPr>
          <w:ilvl w:val="0"/>
          <w:numId w:val="11"/>
        </w:numPr>
        <w:adjustRightInd w:val="0"/>
        <w:snapToGrid w:val="0"/>
        <w:spacing w:line="600" w:lineRule="exact"/>
        <w:ind w:firstLine="643"/>
        <w:outlineLvl w:val="2"/>
        <w:rPr>
          <w:rFonts w:ascii="Times New Roman" w:hAnsi="Times New Roman" w:eastAsia="楷体"/>
          <w:b/>
          <w:bCs/>
          <w:sz w:val="32"/>
          <w:szCs w:val="32"/>
        </w:rPr>
      </w:pPr>
      <w:r>
        <w:rPr>
          <w:rFonts w:hint="eastAsia" w:ascii="Times New Roman" w:hAnsi="Times New Roman" w:eastAsia="楷体"/>
          <w:b/>
          <w:bCs/>
          <w:sz w:val="32"/>
          <w:szCs w:val="32"/>
        </w:rPr>
        <w:t>强化楼宇招商</w:t>
      </w:r>
    </w:p>
    <w:p w14:paraId="2B303583">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ascii="Times New Roman" w:hAnsi="Times New Roman" w:eastAsia="仿宋_GB2312" w:cs="仿宋_GB2312"/>
          <w:sz w:val="32"/>
          <w:szCs w:val="32"/>
        </w:rPr>
        <w:t>开展联动招商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建立“区招商局+镇街+楼宇运营商”联动招商机制，突出区块招商与产业招商、上门招商与网络招商</w:t>
      </w:r>
      <w:r>
        <w:rPr>
          <w:rFonts w:hint="eastAsia" w:ascii="Times New Roman" w:hAnsi="Times New Roman" w:eastAsia="仿宋_GB2312" w:cs="仿宋_GB2312"/>
          <w:sz w:val="32"/>
          <w:szCs w:val="32"/>
        </w:rPr>
        <w:t>，招大引强，招优选精</w:t>
      </w:r>
      <w:r>
        <w:rPr>
          <w:rFonts w:ascii="Times New Roman" w:hAnsi="Times New Roman" w:eastAsia="仿宋_GB2312" w:cs="仿宋_GB2312"/>
          <w:sz w:val="32"/>
          <w:szCs w:val="32"/>
        </w:rPr>
        <w:t>。探索专业招商</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采用市场化、专业化和社会化招商运作方式，通过购买服务、税收奖励等措施，实行以商引商、产业链招商、精准招商</w:t>
      </w:r>
      <w:r>
        <w:rPr>
          <w:rFonts w:hint="eastAsia" w:ascii="Times New Roman" w:hAnsi="Times New Roman" w:eastAsia="仿宋_GB2312" w:cs="仿宋_GB2312"/>
          <w:sz w:val="32"/>
          <w:szCs w:val="32"/>
        </w:rPr>
        <w:t>，实现“政策引商”“以楼招商”“以产招商”的虹吸效应</w:t>
      </w:r>
      <w:r>
        <w:rPr>
          <w:rFonts w:ascii="Times New Roman" w:hAnsi="Times New Roman" w:eastAsia="仿宋_GB2312" w:cs="仿宋_GB2312"/>
          <w:sz w:val="32"/>
          <w:szCs w:val="32"/>
        </w:rPr>
        <w:t>。</w:t>
      </w:r>
    </w:p>
    <w:p w14:paraId="7D70E150">
      <w:pPr>
        <w:widowControl w:val="0"/>
        <w:adjustRightInd w:val="0"/>
        <w:snapToGrid w:val="0"/>
        <w:spacing w:line="560" w:lineRule="exact"/>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p>
    <w:p w14:paraId="5544AE34">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29" w:name="_Toc66442965"/>
      <w:bookmarkStart w:id="130" w:name="_Toc42610334"/>
      <w:r>
        <w:rPr>
          <w:rFonts w:hint="eastAsia" w:eastAsia="方正小标宋简体"/>
          <w:b w:val="0"/>
          <w:iCs/>
          <w:kern w:val="2"/>
          <w:sz w:val="36"/>
          <w:szCs w:val="36"/>
        </w:rPr>
        <w:t>大力发展全域旅游，打造文旅融合新品牌</w:t>
      </w:r>
      <w:bookmarkEnd w:id="129"/>
    </w:p>
    <w:p w14:paraId="607F4244">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坚持“以文塑旅、以旅彰文”思路，以创建国家全域旅游示范区为抓手，优化旅游发展布局，打造旅游精品项目；坚持以社会主义核心价值观引领文化建设，扩大公共文化产品和服务供给，</w:t>
      </w:r>
      <w:r>
        <w:rPr>
          <w:rFonts w:ascii="仿宋_GB2312" w:hAnsi="仿宋_GB2312" w:eastAsia="仿宋_GB2312" w:cs="仿宋_GB2312"/>
          <w:spacing w:val="-2"/>
          <w:sz w:val="32"/>
          <w:szCs w:val="32"/>
        </w:rPr>
        <w:t xml:space="preserve"> </w:t>
      </w:r>
      <w:r>
        <w:rPr>
          <w:rFonts w:hint="eastAsia" w:ascii="仿宋_GB2312" w:hAnsi="仿宋_GB2312" w:eastAsia="仿宋_GB2312" w:cs="仿宋_GB2312"/>
          <w:spacing w:val="-2"/>
          <w:sz w:val="32"/>
          <w:szCs w:val="32"/>
        </w:rPr>
        <w:t>促进文化事业全面繁荣、文化产业高质量发展。到2025年，旅游综合收入年均增长15%，新时代文化建设新高地格局和都市</w:t>
      </w:r>
      <w:r>
        <w:rPr>
          <w:rFonts w:ascii="仿宋_GB2312" w:hAnsi="仿宋_GB2312" w:eastAsia="仿宋_GB2312" w:cs="仿宋_GB2312"/>
          <w:spacing w:val="-2"/>
          <w:sz w:val="32"/>
          <w:szCs w:val="32"/>
        </w:rPr>
        <w:t>旅游休闲度假中心</w:t>
      </w:r>
      <w:r>
        <w:rPr>
          <w:rFonts w:hint="eastAsia" w:ascii="仿宋_GB2312" w:hAnsi="仿宋_GB2312" w:eastAsia="仿宋_GB2312" w:cs="仿宋_GB2312"/>
          <w:spacing w:val="-2"/>
          <w:sz w:val="32"/>
          <w:szCs w:val="32"/>
        </w:rPr>
        <w:t>初步形成。到</w:t>
      </w:r>
      <w:r>
        <w:rPr>
          <w:rFonts w:ascii="仿宋_GB2312" w:hAnsi="仿宋_GB2312" w:eastAsia="仿宋_GB2312" w:cs="仿宋_GB2312"/>
          <w:spacing w:val="-2"/>
          <w:sz w:val="32"/>
          <w:szCs w:val="32"/>
        </w:rPr>
        <w:t>2035年，</w:t>
      </w:r>
      <w:r>
        <w:rPr>
          <w:rFonts w:hint="eastAsia" w:ascii="仿宋_GB2312" w:hAnsi="仿宋_GB2312" w:eastAsia="仿宋_GB2312" w:cs="仿宋_GB2312"/>
          <w:spacing w:val="-2"/>
          <w:sz w:val="32"/>
          <w:szCs w:val="32"/>
        </w:rPr>
        <w:t>建成新时代文化建设新高地和功能</w:t>
      </w:r>
      <w:r>
        <w:rPr>
          <w:rFonts w:ascii="仿宋_GB2312" w:hAnsi="仿宋_GB2312" w:eastAsia="仿宋_GB2312" w:cs="仿宋_GB2312"/>
          <w:spacing w:val="-2"/>
          <w:sz w:val="32"/>
          <w:szCs w:val="32"/>
        </w:rPr>
        <w:t>齐备、</w:t>
      </w:r>
      <w:r>
        <w:rPr>
          <w:rFonts w:hint="eastAsia" w:ascii="仿宋_GB2312" w:hAnsi="仿宋_GB2312" w:eastAsia="仿宋_GB2312" w:cs="仿宋_GB2312"/>
          <w:spacing w:val="-2"/>
          <w:sz w:val="32"/>
          <w:szCs w:val="32"/>
        </w:rPr>
        <w:t>特色</w:t>
      </w:r>
      <w:r>
        <w:rPr>
          <w:rFonts w:ascii="仿宋_GB2312" w:hAnsi="仿宋_GB2312" w:eastAsia="仿宋_GB2312" w:cs="仿宋_GB2312"/>
          <w:spacing w:val="-2"/>
          <w:sz w:val="32"/>
          <w:szCs w:val="32"/>
        </w:rPr>
        <w:t>鲜明的</w:t>
      </w:r>
      <w:r>
        <w:rPr>
          <w:rFonts w:hint="eastAsia" w:ascii="仿宋_GB2312" w:hAnsi="仿宋_GB2312" w:eastAsia="仿宋_GB2312" w:cs="仿宋_GB2312"/>
          <w:spacing w:val="-2"/>
          <w:sz w:val="32"/>
          <w:szCs w:val="32"/>
        </w:rPr>
        <w:t>都市</w:t>
      </w:r>
      <w:r>
        <w:rPr>
          <w:rFonts w:ascii="仿宋_GB2312" w:hAnsi="仿宋_GB2312" w:eastAsia="仿宋_GB2312" w:cs="仿宋_GB2312"/>
          <w:spacing w:val="-2"/>
          <w:sz w:val="32"/>
          <w:szCs w:val="32"/>
        </w:rPr>
        <w:t>旅游休闲度假中心。</w:t>
      </w:r>
    </w:p>
    <w:p w14:paraId="6961675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1" w:name="_Toc66442966"/>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精准布局旅游发展空间</w:t>
      </w:r>
      <w:bookmarkEnd w:id="131"/>
    </w:p>
    <w:p w14:paraId="7E0FB10F">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 xml:space="preserve">立足于金台“三塬并立六川归一”的地形特点，结合区内人文历史资源，按照“龙头舞活、重点崛起、差异发展”的思路，实施“旅游+”产业发展战略，构建“一廊一带、两轴三区”的全域旅游发展格局，打造中华历史文化休闲旅游目的地。 </w:t>
      </w:r>
    </w:p>
    <w:p w14:paraId="6A788D87">
      <w:pPr>
        <w:adjustRightInd w:val="0"/>
        <w:snapToGrid w:val="0"/>
        <w:jc w:val="center"/>
        <w:rPr>
          <w:rFonts w:ascii="Times New Roman" w:hAnsi="Times New Roman" w:cs="宋体"/>
          <w:bCs/>
          <w:sz w:val="32"/>
          <w:szCs w:val="24"/>
        </w:rPr>
      </w:pPr>
      <w:r>
        <w:rPr>
          <w:rFonts w:ascii="Times New Roman" w:hAnsi="Times New Roman" w:cs="宋体"/>
          <w:bCs/>
          <w:sz w:val="32"/>
          <w:szCs w:val="24"/>
        </w:rPr>
        <w:drawing>
          <wp:inline distT="0" distB="0" distL="0" distR="0">
            <wp:extent cx="5579745" cy="3148965"/>
            <wp:effectExtent l="0" t="0" r="1905" b="0"/>
            <wp:docPr id="6" name="图片 6" descr="H:\陕西项目\2020金台十四五\辅助图\04-旅游发展格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陕西项目\2020金台十四五\辅助图\04-旅游发展格局.jpg"/>
                    <pic:cNvPicPr>
                      <a:picLocks noChangeAspect="1" noChangeArrowheads="1"/>
                    </pic:cNvPicPr>
                  </pic:nvPicPr>
                  <pic:blipFill>
                    <a:blip r:embed="rId11">
                      <a:extLst>
                        <a:ext uri="{28A0092B-C50C-407E-A947-70E740481C1C}">
                          <a14:useLocalDpi xmlns:a14="http://schemas.microsoft.com/office/drawing/2010/main" val="0"/>
                        </a:ext>
                      </a:extLst>
                    </a:blip>
                    <a:srcRect l="2266" t="9167" r="2138" b="11444"/>
                    <a:stretch>
                      <a:fillRect/>
                    </a:stretch>
                  </pic:blipFill>
                  <pic:spPr>
                    <a:xfrm>
                      <a:off x="0" y="0"/>
                      <a:ext cx="5580000" cy="3149089"/>
                    </a:xfrm>
                    <a:prstGeom prst="rect">
                      <a:avLst/>
                    </a:prstGeom>
                    <a:noFill/>
                    <a:ln>
                      <a:noFill/>
                    </a:ln>
                  </pic:spPr>
                </pic:pic>
              </a:graphicData>
            </a:graphic>
          </wp:inline>
        </w:drawing>
      </w:r>
    </w:p>
    <w:p w14:paraId="3023B322">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图6-1 金台区“十四五”旅游发展格局图</w:t>
      </w:r>
    </w:p>
    <w:p w14:paraId="0E27DB3A">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59BD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644FD9C4">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7 </w:t>
            </w:r>
            <w:r>
              <w:rPr>
                <w:rFonts w:hint="eastAsia" w:ascii="Times New Roman" w:hAnsi="Times New Roman" w:eastAsia="黑体"/>
                <w:sz w:val="28"/>
                <w:szCs w:val="28"/>
              </w:rPr>
              <w:t>全域旅游布局</w:t>
            </w:r>
          </w:p>
        </w:tc>
      </w:tr>
      <w:tr w14:paraId="0ECA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2A26E88F">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一廊。</w:t>
            </w:r>
            <w:r>
              <w:rPr>
                <w:rFonts w:hint="eastAsia" w:ascii="Times New Roman" w:hAnsi="Times New Roman" w:eastAsia="仿宋_GB2312"/>
                <w:sz w:val="28"/>
                <w:szCs w:val="28"/>
              </w:rPr>
              <w:t>大北坡中华文化长廊。</w:t>
            </w:r>
          </w:p>
          <w:p w14:paraId="4EF2C8F8">
            <w:pPr>
              <w:adjustRightInd w:val="0"/>
              <w:snapToGrid w:val="0"/>
              <w:spacing w:line="400" w:lineRule="exact"/>
              <w:ind w:firstLine="538" w:firstLineChars="200"/>
              <w:jc w:val="both"/>
              <w:rPr>
                <w:rFonts w:ascii="Times New Roman" w:hAnsi="Times New Roman" w:eastAsia="仿宋_GB2312"/>
                <w:sz w:val="28"/>
                <w:szCs w:val="28"/>
              </w:rPr>
            </w:pPr>
            <w:r>
              <w:rPr>
                <w:rFonts w:hint="eastAsia" w:ascii="Times New Roman" w:hAnsi="Times New Roman" w:eastAsia="仿宋_GB2312"/>
                <w:b/>
                <w:spacing w:val="-6"/>
                <w:sz w:val="28"/>
                <w:szCs w:val="28"/>
              </w:rPr>
              <w:t>一带。</w:t>
            </w:r>
            <w:r>
              <w:rPr>
                <w:rFonts w:hint="eastAsia" w:ascii="Times New Roman" w:hAnsi="Times New Roman" w:eastAsia="仿宋_GB2312"/>
                <w:spacing w:val="-6"/>
                <w:sz w:val="28"/>
                <w:szCs w:val="28"/>
              </w:rPr>
              <w:t>渭河滨水休闲旅游带。</w:t>
            </w:r>
          </w:p>
          <w:p w14:paraId="7A06EDFF">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两轴。</w:t>
            </w:r>
            <w:r>
              <w:rPr>
                <w:rFonts w:hint="eastAsia" w:ascii="Times New Roman" w:hAnsi="Times New Roman" w:eastAsia="仿宋_GB2312"/>
                <w:sz w:val="28"/>
                <w:szCs w:val="28"/>
              </w:rPr>
              <w:t>金陵乡村旅游发展轴、六川生态旅游发展轴。</w:t>
            </w:r>
          </w:p>
          <w:p w14:paraId="162C65AA">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三区。</w:t>
            </w:r>
            <w:r>
              <w:rPr>
                <w:rFonts w:hint="eastAsia" w:ascii="Times New Roman" w:hAnsi="Times New Roman" w:eastAsia="仿宋_GB2312"/>
                <w:sz w:val="28"/>
                <w:szCs w:val="28"/>
              </w:rPr>
              <w:t>蟠龙塬智慧新区、胜利塬田园休闲区、马家塬都市农业区。</w:t>
            </w:r>
          </w:p>
        </w:tc>
      </w:tr>
    </w:tbl>
    <w:p w14:paraId="03880A23">
      <w:pPr>
        <w:widowControl w:val="0"/>
        <w:adjustRightInd w:val="0"/>
        <w:snapToGrid w:val="0"/>
        <w:spacing w:line="144" w:lineRule="auto"/>
        <w:jc w:val="center"/>
        <w:rPr>
          <w:rFonts w:ascii="Times New Roman" w:hAnsi="Times New Roman" w:cs="宋体"/>
          <w:bCs/>
          <w:sz w:val="32"/>
          <w:szCs w:val="24"/>
        </w:rPr>
      </w:pPr>
    </w:p>
    <w:p w14:paraId="0B56815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2" w:name="_Toc66442967"/>
      <w:r>
        <w:rPr>
          <w:rFonts w:hint="eastAsia" w:ascii="Times New Roman" w:hAnsi="Times New Roman" w:cs="宋体"/>
          <w:bCs w:val="0"/>
          <w:sz w:val="32"/>
          <w:szCs w:val="24"/>
        </w:rPr>
        <w:t>第二节 打造旅游精品项目</w:t>
      </w:r>
      <w:bookmarkEnd w:id="132"/>
    </w:p>
    <w:p w14:paraId="1CCCCF95">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大北坡中华文化长廊</w:t>
      </w:r>
    </w:p>
    <w:p w14:paraId="62B26A60">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以现有宝鸡峡引渭总干渠为主线，沿途串起宝鸡申新纱厂旧址、北首岭遗址、李茂贞墓等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人文遗址的珍珠链，再以此珍珠链为主轴串起辉耀其中的卧龙文创园、西府老街、北坡公园等人文景观，成为全国屈指可数的大开放、大保护的国家文化公园，最终将文化长廊打造成连点成线，集交通线、景观线、文化线于一体的宝鸡文化旅游新坐标。</w:t>
      </w:r>
    </w:p>
    <w:p w14:paraId="2E7AB562">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西府天地传统民俗文化旅游区</w:t>
      </w:r>
    </w:p>
    <w:p w14:paraId="68FD248B">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依托现有的太极源文化旅游区、西府老街、秦王陵及胜利塬游乐园等景区资源，以特色化、规模化、市场化为导向，加快特色景区、特色村落、特色产业的发展，结合陵塬片区的耕地、林地资源，融合三产综合发展的文化休闲旅游基地，最终将该片区打造成以太极文化、西府民俗、田园休闲、生态康养为主要特色，兼具生态观光、山地运动、文化体验等功能为一体的民俗健康旅游核心区。</w:t>
      </w:r>
    </w:p>
    <w:p w14:paraId="07E12413">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长乐塬抗战工业遗址研学教育基地</w:t>
      </w:r>
    </w:p>
    <w:p w14:paraId="54BF21B5">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长乐塬抗战工业遗址公园为主题，充分利用窑洞工厂、薄壳车间、申新办公楼、乐农别墅等历史遗迹和现状要素，充分挖掘民族精神、抗战精神、工合精神、工业精神、企业家精神，梳理宝鸡抗战工业历史脉络，完善配套设施，建设主题鲜明、特色突出、具有国内外影响力的工业博物馆。最终将该片区打造成彰显工业精神的宝鸡乃至全国的抗战工业文化为主题的综合性研学教育基地。</w:t>
      </w:r>
    </w:p>
    <w:p w14:paraId="79F50929">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六川河生态运动休闲景区</w:t>
      </w:r>
    </w:p>
    <w:p w14:paraId="15C598B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按照“山水引领，片区串联，整体发展”的战略思想，联动开发宝鸡峡渠首、苟岭水库水游和蜂泉山山游，深入打造该旅游区的旅游集散功能，完善旅游区基础设施建设，突出山地避暑、山水运动、乡村旅游、民俗体验、生态度假等特色，将景区建设成为集山水观光、休闲游憩、康养度假等功能于一体的城市近郊生态观光游第一目的地。</w:t>
      </w:r>
    </w:p>
    <w:p w14:paraId="42762E77">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玉池公社主题乡村旅游区</w:t>
      </w:r>
    </w:p>
    <w:p w14:paraId="0E1A02E6">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以金陵河为主线，结合两侧坡地村落，突显“山水原乡”的主题特色，结合乡村振兴发展，以玉池公社为龙头，建设一批集知青印象文化体验、农业田园观光、原生态</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、休闲旅游康养于一体的乡村度假区、旅游村镇、休闲农园、自驾营地、运动基地等绿色生态田园综合体，打造南北向的乡村文化旅游产业带。</w:t>
      </w:r>
    </w:p>
    <w:p w14:paraId="3D96F337">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蟠龙新城康养度假区</w:t>
      </w:r>
    </w:p>
    <w:p w14:paraId="7AC87EFD">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蟠龙高新区打造康养新城为契机，引入涵盖综合检测、系统康复、全时看护、中医辅助、运动康复、饮食调养等世界先进医疗康养产业一体化项目群。建立具有中国特色以及国际化水平的养老和健康管理产业资源、产业模式、管理运营、培养人才的全产业链体系。打造全方位配套、国际化服务、世界先进医疗产业高地和度假型的康复医疗区。</w:t>
      </w:r>
    </w:p>
    <w:p w14:paraId="7906B79F">
      <w:pPr>
        <w:numPr>
          <w:ilvl w:val="0"/>
          <w:numId w:val="12"/>
        </w:numPr>
        <w:adjustRightInd w:val="0"/>
        <w:snapToGrid w:val="0"/>
        <w:spacing w:line="560" w:lineRule="exact"/>
        <w:ind w:firstLine="643" w:firstLineChars="200"/>
        <w:outlineLvl w:val="2"/>
        <w:rPr>
          <w:rFonts w:ascii="Times New Roman" w:hAnsi="Times New Roman" w:eastAsia="楷体"/>
          <w:b/>
          <w:bCs/>
          <w:sz w:val="32"/>
          <w:szCs w:val="32"/>
        </w:rPr>
      </w:pPr>
      <w:r>
        <w:rPr>
          <w:rFonts w:hint="eastAsia" w:ascii="Times New Roman" w:hAnsi="Times New Roman" w:eastAsia="楷体"/>
          <w:b/>
          <w:bCs/>
          <w:sz w:val="32"/>
          <w:szCs w:val="32"/>
        </w:rPr>
        <w:t>休闲田园艺术旅游区</w:t>
      </w:r>
    </w:p>
    <w:p w14:paraId="259E0DDE">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胜利塬和马家塬为核心，引入现代农业公园发展概念，整合台塬村落的土地资源，村民资源，进行整体的产业开发，发展现代科技农业、规模农业、城郊都市农业，以现代农业产业为支撑，产游融合，胜利塬发展民俗旅游、文化体验、西府特色美食等业态；马家塬发展花海旅游、休闲观光、采摘、艺术农庄等业态，提升金台农业旅游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BB3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97633AB">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8 </w:t>
            </w:r>
            <w:r>
              <w:rPr>
                <w:rFonts w:hint="eastAsia" w:ascii="Times New Roman" w:hAnsi="Times New Roman" w:eastAsia="黑体"/>
                <w:sz w:val="28"/>
                <w:szCs w:val="28"/>
              </w:rPr>
              <w:t>文化旅游重大项目</w:t>
            </w:r>
          </w:p>
        </w:tc>
      </w:tr>
      <w:tr w14:paraId="497A8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747765DB">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1.宝鸡市长乐塬抗战工业遗址项目。</w:t>
            </w:r>
            <w:r>
              <w:rPr>
                <w:rFonts w:hint="eastAsia" w:ascii="仿宋_GB2312" w:hAnsi="仿宋_GB2312" w:eastAsia="仿宋_GB2312" w:cs="仿宋_GB2312"/>
                <w:sz w:val="28"/>
                <w:szCs w:val="28"/>
              </w:rPr>
              <w:t>主要建设工合之光、双创天地、荣耀家园三组团，改造申新办公楼、薄壳车间、窑洞车间等遗址，投资约7亿元。</w:t>
            </w:r>
          </w:p>
          <w:p w14:paraId="20083481">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2.胜利塬生态康养项目。</w:t>
            </w:r>
            <w:r>
              <w:rPr>
                <w:rFonts w:hint="eastAsia" w:ascii="仿宋_GB2312" w:hAnsi="仿宋_GB2312" w:eastAsia="仿宋_GB2312" w:cs="仿宋_GB2312"/>
                <w:sz w:val="28"/>
                <w:szCs w:val="28"/>
              </w:rPr>
              <w:t>建设集度假、休闲、旅游、民俗、游乐及生态人居为一体的康养文化旅游地，投资约10亿元。</w:t>
            </w:r>
          </w:p>
          <w:p w14:paraId="0043F0F4">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3.西府天地民俗观光旅游景区建设项目。</w:t>
            </w:r>
            <w:r>
              <w:rPr>
                <w:rFonts w:hint="eastAsia" w:ascii="仿宋_GB2312" w:hAnsi="仿宋_GB2312" w:eastAsia="仿宋_GB2312" w:cs="仿宋_GB2312"/>
                <w:sz w:val="28"/>
                <w:szCs w:val="28"/>
              </w:rPr>
              <w:t>改造西府里板块公共配套，新建生态停车场、基础设施，投资约2.5亿元。</w:t>
            </w:r>
          </w:p>
          <w:p w14:paraId="65BB822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4.宝陵工坊文化旅游建设项目。</w:t>
            </w:r>
            <w:r>
              <w:rPr>
                <w:rFonts w:hint="eastAsia" w:ascii="仿宋_GB2312" w:hAnsi="仿宋_GB2312" w:eastAsia="仿宋_GB2312" w:cs="仿宋_GB2312"/>
                <w:sz w:val="28"/>
                <w:szCs w:val="28"/>
              </w:rPr>
              <w:t>建设游客服务中心，工坊博物</w:t>
            </w:r>
            <w:r>
              <w:rPr>
                <w:rFonts w:hint="eastAsia" w:ascii="仿宋_GB2312" w:hAnsi="仿宋_GB2312" w:eastAsia="仿宋_GB2312" w:cs="仿宋_GB2312"/>
                <w:spacing w:val="-4"/>
                <w:sz w:val="28"/>
                <w:szCs w:val="28"/>
              </w:rPr>
              <w:t>馆、展览馆、民宿酒店、美食市场街、游乐体验区等，投资约3亿元。</w:t>
            </w:r>
          </w:p>
          <w:p w14:paraId="21FD070E">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5.蟠龙山村党氏文化旅游项目。</w:t>
            </w:r>
            <w:r>
              <w:rPr>
                <w:rFonts w:hint="eastAsia" w:ascii="仿宋_GB2312" w:hAnsi="仿宋_GB2312" w:eastAsia="仿宋_GB2312" w:cs="仿宋_GB2312"/>
                <w:sz w:val="28"/>
                <w:szCs w:val="28"/>
              </w:rPr>
              <w:t>建设观景台、党氏主题文化街、祠堂、缆车、广场、游客中心、公厕等，投资约1亿元。</w:t>
            </w:r>
          </w:p>
          <w:p w14:paraId="7CE633F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6.金台区玉池公社休闲旅游项目。</w:t>
            </w:r>
            <w:r>
              <w:rPr>
                <w:rFonts w:hint="eastAsia" w:ascii="仿宋_GB2312" w:hAnsi="仿宋_GB2312" w:eastAsia="仿宋_GB2312" w:cs="仿宋_GB2312"/>
                <w:sz w:val="28"/>
                <w:szCs w:val="28"/>
              </w:rPr>
              <w:t>建设农家小院、民宿等；扩建知青集市、生态鹅场、停车场等，投资约3亿元。</w:t>
            </w:r>
          </w:p>
          <w:p w14:paraId="5ACFC0B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7.金台区陵原休闲农业观光园项目。</w:t>
            </w:r>
            <w:r>
              <w:rPr>
                <w:rFonts w:hint="eastAsia" w:ascii="仿宋_GB2312" w:hAnsi="仿宋_GB2312" w:eastAsia="仿宋_GB2312" w:cs="仿宋_GB2312"/>
                <w:bCs/>
                <w:sz w:val="28"/>
                <w:szCs w:val="28"/>
              </w:rPr>
              <w:t>建设</w:t>
            </w:r>
            <w:r>
              <w:rPr>
                <w:rFonts w:ascii="仿宋_GB2312" w:hAnsi="仿宋_GB2312" w:eastAsia="仿宋_GB2312" w:cs="仿宋_GB2312"/>
                <w:bCs/>
                <w:sz w:val="28"/>
                <w:szCs w:val="28"/>
              </w:rPr>
              <w:t>生态循环养殖区、生态种植区、休闲农业观光园</w:t>
            </w:r>
            <w:r>
              <w:rPr>
                <w:rFonts w:hint="eastAsia" w:ascii="仿宋_GB2312" w:hAnsi="仿宋_GB2312" w:eastAsia="仿宋_GB2312" w:cs="仿宋_GB2312"/>
                <w:bCs/>
                <w:sz w:val="28"/>
                <w:szCs w:val="28"/>
              </w:rPr>
              <w:t>及配套设施，</w:t>
            </w:r>
            <w:r>
              <w:rPr>
                <w:rFonts w:hint="eastAsia" w:ascii="仿宋_GB2312" w:hAnsi="仿宋_GB2312" w:eastAsia="仿宋_GB2312" w:cs="仿宋_GB2312"/>
                <w:sz w:val="28"/>
                <w:szCs w:val="28"/>
              </w:rPr>
              <w:t>投资约1.2亿元。</w:t>
            </w:r>
          </w:p>
          <w:p w14:paraId="79F8C993">
            <w:pPr>
              <w:pStyle w:val="8"/>
              <w:ind w:firstLine="562"/>
              <w:rPr>
                <w:rFonts w:ascii="仿宋_GB2312" w:hAnsi="仿宋_GB2312" w:eastAsia="仿宋_GB2312" w:cs="仿宋_GB2312"/>
                <w:bCs/>
                <w:sz w:val="28"/>
                <w:szCs w:val="28"/>
              </w:rPr>
            </w:pPr>
            <w:r>
              <w:rPr>
                <w:rFonts w:hint="eastAsia" w:ascii="仿宋_GB2312" w:hAnsi="仿宋_GB2312" w:eastAsia="仿宋_GB2312" w:cs="仿宋_GB2312"/>
                <w:b/>
                <w:bCs/>
                <w:sz w:val="28"/>
                <w:szCs w:val="28"/>
              </w:rPr>
              <w:t>8.金台区胜利塬田园综合体项目。</w:t>
            </w:r>
            <w:r>
              <w:rPr>
                <w:rFonts w:hint="eastAsia" w:ascii="仿宋_GB2312" w:hAnsi="仿宋_GB2312" w:eastAsia="仿宋_GB2312" w:cs="仿宋_GB2312"/>
                <w:bCs/>
                <w:sz w:val="28"/>
                <w:szCs w:val="28"/>
              </w:rPr>
              <w:t>主要建设现代农业、文化旅游相关配套设施等，投资约9.8亿元。</w:t>
            </w:r>
          </w:p>
        </w:tc>
      </w:tr>
    </w:tbl>
    <w:p w14:paraId="4FC277D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3" w:name="_Toc6644296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加快发展文化产业</w:t>
      </w:r>
      <w:bookmarkEnd w:id="133"/>
    </w:p>
    <w:p w14:paraId="2B8DC583">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以卧龙文化产业园为主体，打造艺术创作、音乐制作、文创产品设计的创意型文化产业园区；</w:t>
      </w:r>
      <w:r>
        <w:rPr>
          <w:rFonts w:hint="eastAsia" w:ascii="Times New Roman" w:hAnsi="Times New Roman" w:eastAsia="仿宋"/>
          <w:sz w:val="32"/>
          <w:szCs w:val="32"/>
        </w:rPr>
        <w:t>以</w:t>
      </w:r>
      <w:r>
        <w:rPr>
          <w:rFonts w:hint="eastAsia" w:ascii="Times New Roman" w:hAnsi="Times New Roman" w:eastAsia="仿宋_GB2312"/>
          <w:sz w:val="32"/>
          <w:szCs w:val="32"/>
        </w:rPr>
        <w:t>东岭文化产业园区为主体，打造现代文化艺术、数字影视、总部文化企业为主的数字影视文化产业园区。</w:t>
      </w:r>
      <w:r>
        <w:rPr>
          <w:rFonts w:hint="eastAsia" w:ascii="Times New Roman" w:hAnsi="Times New Roman" w:eastAsia="仿宋_GB2312" w:cs="宋体"/>
          <w:kern w:val="0"/>
          <w:sz w:val="32"/>
          <w:szCs w:val="32"/>
        </w:rPr>
        <w:t>同时推进创意设计、工艺美术等产业集群，推进文化和相关产业融合发展，大力拓展</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文创产业</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鼓励文化企业开发新技术、新产品，发展新业态和新商业模式，提供优质丰富的文化产品和服务。发挥文化产业投资基金，创新金融扶持文化产业发展。实施文化产业龙头促进计划，鼓励文化企业加快并购重组，加大重点文化企业和文化领军人才引进力度，打造文化系列产品，增强文化企业的竞争力。完善文化市场准入和退出机制，加强文化市场监管和</w:t>
      </w:r>
      <w:r>
        <w:rPr>
          <w:rFonts w:hint="eastAsia" w:ascii="Times New Roman" w:hAnsi="Times New Roman" w:eastAsia="仿宋_GB2312" w:cs="宋体"/>
          <w:kern w:val="0"/>
          <w:sz w:val="32"/>
          <w:szCs w:val="32"/>
          <w:lang w:eastAsia="zh-CN"/>
        </w:rPr>
        <w:t>法治建设</w:t>
      </w:r>
      <w:r>
        <w:rPr>
          <w:rFonts w:hint="eastAsia" w:ascii="Times New Roman" w:hAnsi="Times New Roman" w:eastAsia="仿宋_GB2312" w:cs="宋体"/>
          <w:kern w:val="0"/>
          <w:sz w:val="32"/>
          <w:szCs w:val="32"/>
        </w:rPr>
        <w:t>。鼓励文化企业建立文化产品经纪、评估、鉴定、交易市场。拓展新型文化业态，扩大和引导文化消费。到2</w:t>
      </w:r>
      <w:r>
        <w:rPr>
          <w:rFonts w:ascii="Times New Roman" w:hAnsi="Times New Roman" w:eastAsia="仿宋_GB2312" w:cs="宋体"/>
          <w:kern w:val="0"/>
          <w:sz w:val="32"/>
          <w:szCs w:val="32"/>
        </w:rPr>
        <w:t>025</w:t>
      </w:r>
      <w:r>
        <w:rPr>
          <w:rFonts w:hint="eastAsia" w:ascii="Times New Roman" w:hAnsi="Times New Roman" w:eastAsia="仿宋_GB2312" w:cs="宋体"/>
          <w:kern w:val="0"/>
          <w:sz w:val="32"/>
          <w:szCs w:val="32"/>
        </w:rPr>
        <w:t>年，</w:t>
      </w:r>
      <w:r>
        <w:rPr>
          <w:rFonts w:hint="eastAsia" w:ascii="Times New Roman" w:hAnsi="Times New Roman" w:eastAsia="仿宋_GB2312" w:cs="仿宋_GB2312"/>
          <w:kern w:val="0"/>
          <w:sz w:val="32"/>
          <w:szCs w:val="32"/>
        </w:rPr>
        <w:t>规上文化企业营业收入年均增长</w:t>
      </w:r>
      <w:r>
        <w:rPr>
          <w:rFonts w:ascii="Times New Roman" w:hAnsi="Times New Roman" w:eastAsia="仿宋_GB2312" w:cs="仿宋_GB2312"/>
          <w:kern w:val="0"/>
          <w:sz w:val="32"/>
          <w:szCs w:val="32"/>
        </w:rPr>
        <w:t>8.5%</w:t>
      </w:r>
      <w:r>
        <w:rPr>
          <w:rFonts w:hint="eastAsia" w:ascii="Times New Roman" w:hAnsi="Times New Roman" w:eastAsia="仿宋_GB2312" w:cs="仿宋_GB2312"/>
          <w:kern w:val="0"/>
          <w:sz w:val="32"/>
          <w:szCs w:val="32"/>
        </w:rPr>
        <w:t>。</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905E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tcPr>
          <w:p w14:paraId="2C888953">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9 </w:t>
            </w:r>
            <w:r>
              <w:rPr>
                <w:rFonts w:hint="eastAsia" w:ascii="Times New Roman" w:hAnsi="Times New Roman" w:eastAsia="黑体"/>
                <w:sz w:val="28"/>
                <w:szCs w:val="28"/>
              </w:rPr>
              <w:t>文化产业重大项目</w:t>
            </w:r>
          </w:p>
        </w:tc>
      </w:tr>
      <w:tr w14:paraId="1DEB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8343433">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1.东岭文化产业园示范区项目。</w:t>
            </w:r>
            <w:r>
              <w:rPr>
                <w:rFonts w:hint="eastAsia" w:ascii="仿宋_GB2312" w:hAnsi="仿宋_GB2312" w:eastAsia="仿宋_GB2312" w:cs="仿宋_GB2312"/>
                <w:sz w:val="28"/>
                <w:szCs w:val="28"/>
              </w:rPr>
              <w:t>引进“互联网+”行业及设计、广告影视动漫、文化传媒等创新型文化类企业孵化与入驻，投资约3亿元。</w:t>
            </w:r>
          </w:p>
          <w:p w14:paraId="71810006">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2.北首岭遗址公园建设项目。</w:t>
            </w:r>
            <w:r>
              <w:rPr>
                <w:rFonts w:hint="eastAsia" w:ascii="仿宋_GB2312" w:hAnsi="仿宋_GB2312" w:eastAsia="仿宋_GB2312" w:cs="仿宋_GB2312"/>
                <w:sz w:val="28"/>
                <w:szCs w:val="28"/>
              </w:rPr>
              <w:t>以仰韶文化为主体，遗址博物</w:t>
            </w:r>
            <w:r>
              <w:rPr>
                <w:rFonts w:hint="eastAsia" w:ascii="仿宋_GB2312" w:hAnsi="仿宋_GB2312" w:eastAsia="仿宋_GB2312" w:cs="仿宋_GB2312"/>
                <w:spacing w:val="-4"/>
                <w:sz w:val="28"/>
                <w:szCs w:val="28"/>
              </w:rPr>
              <w:t>馆为支撑，原始部落遗址、遗物为内容的遗址公园，投资约10亿元。</w:t>
            </w:r>
          </w:p>
          <w:p w14:paraId="229E1C29">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3.金台区理想共创文化科技产业园。</w:t>
            </w:r>
            <w:r>
              <w:rPr>
                <w:rFonts w:hint="eastAsia" w:ascii="仿宋_GB2312" w:hAnsi="仿宋_GB2312" w:eastAsia="仿宋_GB2312" w:cs="仿宋_GB2312"/>
                <w:sz w:val="28"/>
                <w:szCs w:val="28"/>
              </w:rPr>
              <w:t>改造原有建筑，新建停车场，景观绿化及配套设施</w:t>
            </w:r>
            <w:r>
              <w:rPr>
                <w:rFonts w:hint="eastAsia" w:ascii="仿宋_GB2312" w:hAnsi="仿宋_GB2312" w:eastAsia="仿宋_GB2312" w:cs="仿宋_GB2312"/>
                <w:spacing w:val="-4"/>
                <w:sz w:val="28"/>
                <w:szCs w:val="28"/>
              </w:rPr>
              <w:t>，投资约1.5亿元</w:t>
            </w:r>
            <w:r>
              <w:rPr>
                <w:rFonts w:hint="eastAsia" w:ascii="仿宋_GB2312" w:hAnsi="仿宋_GB2312" w:eastAsia="仿宋_GB2312" w:cs="仿宋_GB2312"/>
                <w:sz w:val="28"/>
                <w:szCs w:val="28"/>
              </w:rPr>
              <w:t>。</w:t>
            </w:r>
          </w:p>
          <w:p w14:paraId="2FB90928">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4.古陈仓城遗址公园开发建设项目。</w:t>
            </w:r>
            <w:r>
              <w:rPr>
                <w:rFonts w:hint="eastAsia" w:ascii="仿宋_GB2312" w:hAnsi="仿宋_GB2312" w:eastAsia="仿宋_GB2312" w:cs="仿宋_GB2312"/>
                <w:sz w:val="28"/>
                <w:szCs w:val="28"/>
              </w:rPr>
              <w:t>建设主城区、商业街区、花海公园、考古模拟体验区、“</w:t>
            </w:r>
            <w:r>
              <w:rPr>
                <w:rFonts w:hint="eastAsia" w:ascii="仿宋" w:hAnsi="仿宋" w:eastAsia="仿宋" w:cs="仿宋_GB2312"/>
                <w:sz w:val="28"/>
                <w:szCs w:val="28"/>
              </w:rPr>
              <w:t>汧</w:t>
            </w:r>
            <w:r>
              <w:rPr>
                <w:rFonts w:hint="eastAsia" w:ascii="仿宋_GB2312" w:hAnsi="仿宋_GB2312" w:eastAsia="仿宋_GB2312" w:cs="仿宋_GB2312"/>
                <w:sz w:val="28"/>
                <w:szCs w:val="28"/>
              </w:rPr>
              <w:t>渭之会”遗址广场</w:t>
            </w:r>
            <w:r>
              <w:rPr>
                <w:rFonts w:hint="eastAsia" w:ascii="仿宋_GB2312" w:hAnsi="仿宋_GB2312" w:eastAsia="仿宋_GB2312" w:cs="仿宋_GB2312"/>
                <w:spacing w:val="-4"/>
                <w:sz w:val="28"/>
                <w:szCs w:val="28"/>
              </w:rPr>
              <w:t>，投资约5亿元</w:t>
            </w:r>
            <w:r>
              <w:rPr>
                <w:rFonts w:hint="eastAsia" w:ascii="仿宋_GB2312" w:hAnsi="仿宋_GB2312" w:eastAsia="仿宋_GB2312" w:cs="仿宋_GB2312"/>
                <w:sz w:val="28"/>
                <w:szCs w:val="28"/>
              </w:rPr>
              <w:t>。</w:t>
            </w:r>
          </w:p>
          <w:p w14:paraId="51902A7B">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5.蟠龙高新区汽车文化产业园。</w:t>
            </w:r>
            <w:r>
              <w:rPr>
                <w:rFonts w:hint="eastAsia" w:ascii="仿宋_GB2312" w:hAnsi="仿宋_GB2312" w:eastAsia="仿宋_GB2312" w:cs="仿宋_GB2312"/>
                <w:sz w:val="28"/>
                <w:szCs w:val="28"/>
              </w:rPr>
              <w:t>主要引进包括</w:t>
            </w:r>
            <w:r>
              <w:rPr>
                <w:rFonts w:ascii="仿宋_GB2312" w:hAnsi="仿宋_GB2312" w:eastAsia="仿宋_GB2312" w:cs="仿宋_GB2312"/>
                <w:sz w:val="28"/>
                <w:szCs w:val="28"/>
              </w:rPr>
              <w:t>4S店、汽保（汽保设备）、汽车金融、汽车IT、汽车养护、汽车维修和配件、汽车文化及汽车运动、二手车及汽车租赁等产业</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20</w:t>
            </w:r>
            <w:r>
              <w:rPr>
                <w:rFonts w:hint="eastAsia" w:ascii="仿宋_GB2312" w:hAnsi="仿宋_GB2312" w:eastAsia="仿宋_GB2312" w:cs="仿宋_GB2312"/>
                <w:sz w:val="28"/>
                <w:szCs w:val="28"/>
              </w:rPr>
              <w:t>亿元。</w:t>
            </w:r>
          </w:p>
          <w:p w14:paraId="22C16CF5">
            <w:pPr>
              <w:pStyle w:val="8"/>
              <w:ind w:firstLine="562"/>
              <w:rPr>
                <w:rFonts w:ascii="仿宋_GB2312" w:hAnsi="仿宋_GB2312" w:eastAsia="仿宋_GB2312" w:cs="仿宋_GB2312"/>
                <w:sz w:val="28"/>
                <w:szCs w:val="28"/>
              </w:rPr>
            </w:pPr>
            <w:r>
              <w:rPr>
                <w:rFonts w:hint="eastAsia" w:ascii="仿宋_GB2312" w:hAnsi="仿宋_GB2312" w:eastAsia="仿宋_GB2312" w:cs="仿宋_GB2312"/>
                <w:b/>
                <w:bCs/>
                <w:sz w:val="28"/>
                <w:szCs w:val="28"/>
              </w:rPr>
              <w:t>6.宝鸡军事博物馆及公园项目。</w:t>
            </w:r>
            <w:r>
              <w:rPr>
                <w:rFonts w:ascii="仿宋_GB2312" w:hAnsi="仿宋_GB2312" w:eastAsia="仿宋_GB2312" w:cs="仿宋_GB2312"/>
                <w:sz w:val="28"/>
                <w:szCs w:val="28"/>
              </w:rPr>
              <w:t>建设军事装备展示区，军事实景表演区、装备模拟体验区、军事博物馆、军事文化旅游区、军事文化培训区等</w:t>
            </w:r>
            <w:r>
              <w:rPr>
                <w:rFonts w:hint="eastAsia" w:ascii="仿宋_GB2312" w:hAnsi="仿宋_GB2312" w:eastAsia="仿宋_GB2312" w:cs="仿宋_GB2312"/>
                <w:sz w:val="28"/>
                <w:szCs w:val="28"/>
              </w:rPr>
              <w:t>，投资约1</w:t>
            </w:r>
            <w:r>
              <w:rPr>
                <w:rFonts w:ascii="仿宋_GB2312" w:hAnsi="仿宋_GB2312" w:eastAsia="仿宋_GB2312" w:cs="仿宋_GB2312"/>
                <w:sz w:val="28"/>
                <w:szCs w:val="28"/>
              </w:rPr>
              <w:t>0</w:t>
            </w:r>
            <w:r>
              <w:rPr>
                <w:rFonts w:hint="eastAsia" w:ascii="仿宋_GB2312" w:hAnsi="仿宋_GB2312" w:eastAsia="仿宋_GB2312" w:cs="仿宋_GB2312"/>
                <w:sz w:val="28"/>
                <w:szCs w:val="28"/>
              </w:rPr>
              <w:t>亿元。</w:t>
            </w:r>
          </w:p>
          <w:p w14:paraId="254AB6BA">
            <w:pPr>
              <w:pStyle w:val="8"/>
              <w:ind w:firstLine="562"/>
            </w:pPr>
            <w:r>
              <w:rPr>
                <w:rFonts w:hint="eastAsia" w:ascii="仿宋_GB2312" w:hAnsi="仿宋_GB2312" w:eastAsia="仿宋_GB2312" w:cs="仿宋_GB2312"/>
                <w:b/>
                <w:bCs/>
                <w:sz w:val="28"/>
                <w:szCs w:val="28"/>
              </w:rPr>
              <w:t>7.金台区电竞产业园项目。</w:t>
            </w:r>
            <w:r>
              <w:rPr>
                <w:rFonts w:hint="eastAsia" w:ascii="仿宋_GB2312" w:hAnsi="仿宋_GB2312" w:eastAsia="仿宋_GB2312" w:cs="仿宋_GB2312"/>
                <w:sz w:val="28"/>
                <w:szCs w:val="28"/>
              </w:rPr>
              <w:t>重点招引电竞游戏制作、后台运营及电竞类企业等，加快推进电竞化产业进程，投资约1亿元。</w:t>
            </w:r>
          </w:p>
        </w:tc>
      </w:tr>
    </w:tbl>
    <w:p w14:paraId="172CBB6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34" w:name="_Toc66442969"/>
      <w:r>
        <w:rPr>
          <w:rFonts w:hint="eastAsia" w:ascii="Times New Roman" w:hAnsi="Times New Roman" w:cs="宋体"/>
          <w:bCs w:val="0"/>
          <w:sz w:val="32"/>
          <w:szCs w:val="24"/>
        </w:rPr>
        <w:t>第四节 繁荣发展文化事业</w:t>
      </w:r>
      <w:bookmarkEnd w:id="134"/>
    </w:p>
    <w:p w14:paraId="516DFDC1">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提升金台文化标识建设水平</w:t>
      </w:r>
    </w:p>
    <w:p w14:paraId="28A49B0F">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充分发挥金台“太极之源、祥瑞金台”的文化特色和资源优势，通过在宝鸡文化艺术中心、宝鸡大剧院举行文化艺术节、剧目演出、赛事等各种文化活动，不断提升金台影响力；积极发掘太极文化，举办全国太极拳比赛，打造金台太极文化品牌；不断挖掘西府特色小吃，传承西府美食文化，举办西府美食文化节，打造“舌尖上的金台”，建设创意美食区、休闲美食区，加强美食文化体验，支持宝鸡擀面皮申报地理标志产品和集体证明商标。加快北首岭、长乐塬工业遗址、太极源、西府天地等宣传推广，培育文化品牌，释放文化价值，提升城市文化品质，塑造金台文化标识，打造区域文化中心。</w:t>
      </w:r>
      <w:r>
        <w:rPr>
          <w:rFonts w:ascii="Times New Roman" w:hAnsi="Times New Roman" w:eastAsia="仿宋_GB2312" w:cs="宋体"/>
          <w:kern w:val="0"/>
          <w:sz w:val="32"/>
          <w:szCs w:val="32"/>
        </w:rPr>
        <w:t xml:space="preserve"> </w:t>
      </w:r>
    </w:p>
    <w:p w14:paraId="36F226AC">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加大文化遗产保护利用力度</w:t>
      </w:r>
    </w:p>
    <w:p w14:paraId="50F6D7F2">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继续落实文物安全责任，加强行业督查、检查、巡查并完善相关机制，联合相关单位加强文物犯罪线索排查和犯罪打击力度，创新田野文物保护方式手段，</w:t>
      </w:r>
      <w:r>
        <w:rPr>
          <w:rFonts w:hint="eastAsia" w:ascii="Times New Roman" w:hAnsi="Times New Roman" w:eastAsia="仿宋_GB2312" w:cs="宋体"/>
          <w:kern w:val="0"/>
          <w:sz w:val="32"/>
          <w:szCs w:val="32"/>
          <w:lang w:eastAsia="zh-CN"/>
        </w:rPr>
        <w:t>加大</w:t>
      </w:r>
      <w:r>
        <w:rPr>
          <w:rFonts w:hint="eastAsia" w:ascii="Times New Roman" w:hAnsi="Times New Roman" w:eastAsia="仿宋_GB2312" w:cs="宋体"/>
          <w:kern w:val="0"/>
          <w:sz w:val="32"/>
          <w:szCs w:val="32"/>
        </w:rPr>
        <w:t>田野文物保护力度。积极探索长乐塬抗战工业遗址、北首岭遗址、大唐秦王陵等文化遗产保护性开发模式，充分发挥文物的公共文化服务和社会教育功能。推动工业遗产保护利用与文化保护传承、产业创新发展、城市功能提升协同互进，做好长乐塬工业博物馆展陈等工作，打造一批集城市记忆、知识传播、创意文化、休闲体验于一体的“生活秀带”，延续城市历史文脉，为老工业城市高质量发展增添新的动力。积极推进“传统工艺振兴”工程，加强泥塑、社火、脸谱等非物质文化遗产名录和传承体系建设，发掘和培育一批知名文化工艺、文化名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、文化名人，鼓励各级建设非物质文化遗产生产性示范基地和传习所，推动非遗资源数据库建设。</w:t>
      </w:r>
    </w:p>
    <w:p w14:paraId="54F09D30">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完善公共文化服务网络设施</w:t>
      </w:r>
    </w:p>
    <w:p w14:paraId="0A974718">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完善公共文化设施网络，实施重大文化惠民工程，规划建设一批重大公共文化设施，高标准推进区公共文化馆、博物馆、图书馆、科技馆和影剧院等基础设施建设，完善镇</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街道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综合文化服务站功能，持续推进“农家书屋”建设，重视和加强地方志工作，开展数字档案馆建设。围绕打造“十五分钟”公共文化服务圈，持续推进“书香城市</w:t>
      </w:r>
      <w:r>
        <w:rPr>
          <w:rFonts w:hint="eastAsia" w:ascii="Times New Roman" w:hAnsi="Times New Roman" w:eastAsia="仿宋_GB2312" w:cs="宋体"/>
          <w:b/>
          <w:kern w:val="0"/>
          <w:sz w:val="32"/>
          <w:szCs w:val="32"/>
        </w:rPr>
        <w:t>·</w:t>
      </w:r>
      <w:r>
        <w:rPr>
          <w:rFonts w:hint="eastAsia" w:ascii="Times New Roman" w:hAnsi="Times New Roman" w:eastAsia="仿宋_GB2312" w:cs="宋体"/>
          <w:kern w:val="0"/>
          <w:sz w:val="32"/>
          <w:szCs w:val="32"/>
        </w:rPr>
        <w:t>悦读金台”品牌建设。实施数字文化服务升级提档工程，提供线上线下相结合的公共文化服务。加强智慧广电和应急广播系统集成建设，深入实施秦腔地方戏曲振兴、美术书法创作、基层文艺繁荣等计划。</w:t>
      </w:r>
    </w:p>
    <w:p w14:paraId="341B9A36">
      <w:pPr>
        <w:pStyle w:val="5"/>
        <w:keepNext w:val="0"/>
        <w:keepLines w:val="0"/>
        <w:numPr>
          <w:ilvl w:val="0"/>
          <w:numId w:val="13"/>
        </w:numPr>
        <w:adjustRightInd w:val="0"/>
        <w:snapToGrid w:val="0"/>
        <w:spacing w:before="0" w:after="0" w:line="600" w:lineRule="exact"/>
        <w:ind w:firstLine="643" w:firstLineChars="200"/>
        <w:rPr>
          <w:rFonts w:eastAsia="楷体"/>
        </w:rPr>
      </w:pPr>
      <w:r>
        <w:rPr>
          <w:rFonts w:hint="eastAsia" w:eastAsia="楷体"/>
        </w:rPr>
        <w:t>加强社会主义精神文明建设</w:t>
      </w:r>
      <w:r>
        <w:rPr>
          <w:rFonts w:eastAsia="楷体"/>
        </w:rPr>
        <w:t xml:space="preserve"> </w:t>
      </w:r>
    </w:p>
    <w:p w14:paraId="4F0DDF64">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大力发展教育、科学、文化事业，尊重人才，提高全区人民的思想道德素质和科学文化素质，弘扬</w:t>
      </w:r>
      <w:r>
        <w:rPr>
          <w:rFonts w:hint="eastAsia" w:ascii="Times New Roman" w:hAnsi="Times New Roman" w:eastAsia="仿宋_GB2312" w:cs="宋体"/>
          <w:kern w:val="0"/>
          <w:sz w:val="32"/>
          <w:szCs w:val="32"/>
          <w:lang w:val="en-US" w:eastAsia="zh-CN"/>
        </w:rPr>
        <w:t>中华</w:t>
      </w:r>
      <w:r>
        <w:rPr>
          <w:rFonts w:hint="eastAsia" w:ascii="Times New Roman" w:hAnsi="Times New Roman" w:eastAsia="仿宋_GB2312" w:cs="宋体"/>
          <w:kern w:val="0"/>
          <w:sz w:val="32"/>
          <w:szCs w:val="32"/>
        </w:rPr>
        <w:t>优秀传统文化、繁荣和发展社会主义文化，加强社会主义和谐社会建设，大力发展农村、社区和基层文化建设，围绕举旗帜、聚民心、育新人、兴文化、展形象的使命任务，推进社会主义文化强区建设。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07B3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F9894F6">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 xml:space="preserve">10 </w:t>
            </w:r>
            <w:r>
              <w:rPr>
                <w:rFonts w:hint="eastAsia" w:ascii="Times New Roman" w:hAnsi="Times New Roman" w:eastAsia="黑体"/>
                <w:sz w:val="28"/>
                <w:szCs w:val="28"/>
              </w:rPr>
              <w:t>文化事业重大项目</w:t>
            </w:r>
          </w:p>
        </w:tc>
      </w:tr>
      <w:tr w14:paraId="1929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8B8992F">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1.金台区一区一书城一街一书吧项目。</w:t>
            </w:r>
            <w:r>
              <w:rPr>
                <w:rFonts w:hint="eastAsia" w:ascii="仿宋_GB2312" w:hAnsi="仿宋_GB2312" w:eastAsia="仿宋_GB2312" w:cs="仿宋_GB2312"/>
                <w:sz w:val="28"/>
                <w:szCs w:val="28"/>
              </w:rPr>
              <w:t>主次干道沿线范围布点书城及书吧，并引导商业项目建设中配建相对规模标准的书城、书吧，营造全民阅读氛围，投资约1亿元。</w:t>
            </w:r>
          </w:p>
          <w:p w14:paraId="338D54CA">
            <w:pPr>
              <w:adjustRightInd w:val="0"/>
              <w:snapToGrid w:val="0"/>
              <w:spacing w:line="390" w:lineRule="exact"/>
              <w:ind w:firstLine="482"/>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2.金台文化艺术中心项目。</w:t>
            </w:r>
            <w:r>
              <w:rPr>
                <w:rFonts w:hint="eastAsia" w:ascii="仿宋_GB2312" w:hAnsi="仿宋_GB2312" w:eastAsia="仿宋_GB2312" w:cs="仿宋_GB2312"/>
                <w:bCs/>
                <w:sz w:val="28"/>
                <w:szCs w:val="28"/>
              </w:rPr>
              <w:t>建设文化馆、图书馆、博物馆、金台大剧院等，投资约2亿元。</w:t>
            </w:r>
          </w:p>
          <w:p w14:paraId="170C47B2">
            <w:pPr>
              <w:adjustRightInd w:val="0"/>
              <w:snapToGrid w:val="0"/>
              <w:spacing w:line="390" w:lineRule="exact"/>
              <w:ind w:firstLine="48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3.金台区工人文化宫项目。</w:t>
            </w:r>
            <w:r>
              <w:rPr>
                <w:rFonts w:hint="eastAsia" w:ascii="仿宋_GB2312" w:hAnsi="仿宋_GB2312" w:eastAsia="仿宋_GB2312" w:cs="仿宋_GB2312"/>
                <w:sz w:val="28"/>
                <w:szCs w:val="28"/>
              </w:rPr>
              <w:t>建设排演厅、职工服务大厅、活动场地、停车场等设施，投资约0.12亿元。</w:t>
            </w:r>
          </w:p>
          <w:p w14:paraId="01E6D14E">
            <w:pPr>
              <w:adjustRightInd w:val="0"/>
              <w:snapToGrid w:val="0"/>
              <w:spacing w:line="390" w:lineRule="exact"/>
              <w:ind w:firstLine="482"/>
              <w:jc w:val="both"/>
              <w:rPr>
                <w:rFonts w:ascii="仿宋_GB2312" w:hAnsi="仿宋_GB2312" w:eastAsia="仿宋_GB2312" w:cs="仿宋_GB2312"/>
                <w:spacing w:val="-4"/>
                <w:sz w:val="28"/>
                <w:szCs w:val="28"/>
              </w:rPr>
            </w:pPr>
            <w:r>
              <w:rPr>
                <w:rFonts w:ascii="仿宋_GB2312" w:hAnsi="仿宋_GB2312" w:eastAsia="仿宋_GB2312" w:cs="仿宋_GB2312"/>
                <w:b/>
                <w:bCs/>
                <w:spacing w:val="-4"/>
                <w:sz w:val="28"/>
                <w:szCs w:val="28"/>
              </w:rPr>
              <w:t>4</w:t>
            </w:r>
            <w:r>
              <w:rPr>
                <w:rFonts w:hint="eastAsia" w:ascii="仿宋_GB2312" w:hAnsi="仿宋_GB2312" w:eastAsia="仿宋_GB2312" w:cs="仿宋_GB2312"/>
                <w:b/>
                <w:bCs/>
                <w:spacing w:val="-4"/>
                <w:sz w:val="28"/>
                <w:szCs w:val="28"/>
              </w:rPr>
              <w:t>.蟠龙书城项目。</w:t>
            </w:r>
            <w:r>
              <w:rPr>
                <w:rFonts w:hint="eastAsia" w:ascii="仿宋_GB2312" w:hAnsi="仿宋_GB2312" w:eastAsia="仿宋_GB2312" w:cs="仿宋_GB2312"/>
                <w:spacing w:val="-4"/>
                <w:sz w:val="28"/>
                <w:szCs w:val="28"/>
              </w:rPr>
              <w:t>建设15个复合式书城，文化资源交易中心及相关配套，投资约</w:t>
            </w:r>
            <w:r>
              <w:rPr>
                <w:rFonts w:ascii="仿宋_GB2312" w:hAnsi="仿宋_GB2312" w:eastAsia="仿宋_GB2312" w:cs="仿宋_GB2312"/>
                <w:spacing w:val="-4"/>
                <w:sz w:val="28"/>
                <w:szCs w:val="28"/>
              </w:rPr>
              <w:t>1</w:t>
            </w:r>
            <w:r>
              <w:rPr>
                <w:rFonts w:hint="eastAsia" w:ascii="仿宋_GB2312" w:hAnsi="仿宋_GB2312" w:eastAsia="仿宋_GB2312" w:cs="仿宋_GB2312"/>
                <w:spacing w:val="-4"/>
                <w:sz w:val="28"/>
                <w:szCs w:val="28"/>
              </w:rPr>
              <w:t>亿元。</w:t>
            </w:r>
          </w:p>
          <w:p w14:paraId="6358C3D0">
            <w:pPr>
              <w:adjustRightInd w:val="0"/>
              <w:snapToGrid w:val="0"/>
              <w:spacing w:line="390" w:lineRule="exact"/>
              <w:ind w:firstLine="482"/>
              <w:jc w:val="both"/>
              <w:rPr>
                <w:rFonts w:ascii="仿宋_GB2312" w:hAnsi="仿宋_GB2312" w:eastAsia="仿宋_GB2312" w:cs="仿宋_GB2312"/>
                <w:spacing w:val="-4"/>
                <w:sz w:val="28"/>
                <w:szCs w:val="28"/>
              </w:rPr>
            </w:pPr>
            <w:r>
              <w:rPr>
                <w:rFonts w:hint="eastAsia" w:ascii="仿宋_GB2312" w:hAnsi="仿宋_GB2312" w:eastAsia="仿宋_GB2312" w:cs="仿宋_GB2312"/>
                <w:b/>
                <w:bCs/>
                <w:spacing w:val="-4"/>
                <w:sz w:val="28"/>
                <w:szCs w:val="28"/>
              </w:rPr>
              <w:t>5.蟠龙新区科技博物馆建设项目。</w:t>
            </w:r>
            <w:r>
              <w:rPr>
                <w:rFonts w:hint="eastAsia" w:ascii="仿宋_GB2312" w:hAnsi="仿宋_GB2312" w:eastAsia="仿宋_GB2312" w:cs="仿宋_GB2312"/>
                <w:spacing w:val="-4"/>
                <w:sz w:val="28"/>
                <w:szCs w:val="28"/>
              </w:rPr>
              <w:t>建设</w:t>
            </w:r>
            <w:r>
              <w:rPr>
                <w:rFonts w:ascii="仿宋_GB2312" w:hAnsi="仿宋_GB2312" w:eastAsia="仿宋_GB2312" w:cs="仿宋_GB2312"/>
                <w:spacing w:val="-4"/>
                <w:sz w:val="28"/>
                <w:szCs w:val="28"/>
              </w:rPr>
              <w:t>主馆</w:t>
            </w:r>
            <w:r>
              <w:rPr>
                <w:rFonts w:hint="eastAsia" w:ascii="仿宋_GB2312" w:hAnsi="仿宋_GB2312" w:eastAsia="仿宋_GB2312" w:cs="仿宋_GB2312"/>
                <w:spacing w:val="-4"/>
                <w:sz w:val="28"/>
                <w:szCs w:val="28"/>
              </w:rPr>
              <w:t>及</w:t>
            </w:r>
            <w:r>
              <w:rPr>
                <w:rFonts w:ascii="仿宋_GB2312" w:hAnsi="仿宋_GB2312" w:eastAsia="仿宋_GB2312" w:cs="仿宋_GB2312"/>
                <w:spacing w:val="-4"/>
                <w:sz w:val="28"/>
                <w:szCs w:val="28"/>
              </w:rPr>
              <w:t>附属工程</w:t>
            </w:r>
            <w:r>
              <w:rPr>
                <w:rFonts w:hint="eastAsia" w:ascii="仿宋_GB2312" w:hAnsi="仿宋_GB2312" w:eastAsia="仿宋_GB2312" w:cs="仿宋_GB2312"/>
                <w:spacing w:val="-4"/>
                <w:sz w:val="28"/>
                <w:szCs w:val="28"/>
              </w:rPr>
              <w:t>，投资约0.3亿元。</w:t>
            </w:r>
          </w:p>
        </w:tc>
      </w:tr>
    </w:tbl>
    <w:p w14:paraId="7B9C6664">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p>
    <w:p w14:paraId="2169FB13">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sectPr>
          <w:pgSz w:w="11907" w:h="16840"/>
          <w:pgMar w:top="1440" w:right="1474" w:bottom="1440" w:left="1588" w:header="851" w:footer="992" w:gutter="0"/>
          <w:cols w:space="425" w:num="1"/>
          <w:docGrid w:linePitch="312" w:charSpace="0"/>
        </w:sectPr>
      </w:pPr>
    </w:p>
    <w:p w14:paraId="2289D35B">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35" w:name="_Toc50710102"/>
      <w:bookmarkStart w:id="136" w:name="_Toc50988318"/>
      <w:bookmarkStart w:id="137" w:name="_Toc53863297"/>
      <w:bookmarkStart w:id="138" w:name="_Toc50988066"/>
      <w:bookmarkStart w:id="139" w:name="_Toc66442970"/>
      <w:r>
        <w:rPr>
          <w:rFonts w:hint="eastAsia" w:eastAsia="方正小标宋简体"/>
          <w:b w:val="0"/>
          <w:iCs/>
          <w:kern w:val="2"/>
          <w:sz w:val="36"/>
          <w:szCs w:val="36"/>
        </w:rPr>
        <w:t>建设宜居宜业主城区，打造高品质生活新样板</w:t>
      </w:r>
      <w:bookmarkEnd w:id="135"/>
      <w:bookmarkEnd w:id="136"/>
      <w:bookmarkEnd w:id="137"/>
      <w:bookmarkEnd w:id="138"/>
      <w:bookmarkEnd w:id="139"/>
    </w:p>
    <w:p w14:paraId="079D085B">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重点完善城市服务功能，推进城市更新，提升环境品质，增强城市综合承载力。到2025年，形成国际化、绿色化、智能化、人文化的现代高品质城市“新样板”。到</w:t>
      </w:r>
      <w:r>
        <w:rPr>
          <w:rFonts w:ascii="仿宋_GB2312" w:hAnsi="仿宋_GB2312" w:eastAsia="仿宋_GB2312" w:cs="仿宋_GB2312"/>
          <w:sz w:val="32"/>
          <w:szCs w:val="32"/>
        </w:rPr>
        <w:t>2035年，</w:t>
      </w:r>
      <w:r>
        <w:rPr>
          <w:rFonts w:hint="eastAsia" w:ascii="仿宋_GB2312" w:hAnsi="仿宋_GB2312" w:eastAsia="仿宋_GB2312" w:cs="仿宋_GB2312"/>
          <w:sz w:val="32"/>
          <w:szCs w:val="32"/>
        </w:rPr>
        <w:t>形成</w:t>
      </w:r>
      <w:r>
        <w:rPr>
          <w:rFonts w:ascii="仿宋_GB2312" w:hAnsi="仿宋_GB2312" w:eastAsia="仿宋_GB2312" w:cs="仿宋_GB2312"/>
          <w:sz w:val="32"/>
          <w:szCs w:val="32"/>
        </w:rPr>
        <w:t>国际化城市环境</w:t>
      </w:r>
      <w:r>
        <w:rPr>
          <w:rFonts w:hint="eastAsia" w:ascii="仿宋_GB2312" w:hAnsi="仿宋_GB2312" w:eastAsia="仿宋_GB2312" w:cs="仿宋_GB2312"/>
          <w:sz w:val="32"/>
          <w:szCs w:val="32"/>
        </w:rPr>
        <w:t>，建成高品质生活</w:t>
      </w:r>
      <w:r>
        <w:rPr>
          <w:rFonts w:ascii="仿宋_GB2312" w:hAnsi="仿宋_GB2312" w:eastAsia="仿宋_GB2312" w:cs="仿宋_GB2312"/>
          <w:sz w:val="32"/>
          <w:szCs w:val="32"/>
        </w:rPr>
        <w:t>新高地。</w:t>
      </w:r>
    </w:p>
    <w:p w14:paraId="441FF2D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0" w:name="_Toc6644297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r>
        <w:rPr>
          <w:rFonts w:hint="eastAsia" w:ascii="Times New Roman" w:hAnsi="Times New Roman" w:cs="宋体"/>
          <w:bCs w:val="0"/>
          <w:sz w:val="32"/>
          <w:szCs w:val="24"/>
        </w:rPr>
        <w:t>提升城市服务功能</w:t>
      </w:r>
      <w:bookmarkEnd w:id="140"/>
    </w:p>
    <w:p w14:paraId="1230EEE3">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配置和高效利用资源，积极推动城市业态、形态、生态、文态同步优化升级，加快城市功能向经济、民生、生态等多元功能并重转型。使得主城区能够有效调动宝鸡市所聚集的各类要素，为城市居民提供消费性服务，为城市企业提供生产性服务。坚持绿色低碳循环发展，坚持海绵城市建设、园林城市建设。高标准提升公共服务设施，优先发展现代教育，加强医疗卫生资源，完善全民健身设施网络，高标准建设文明城市、卫生城市，全力争创国家生态文明建设示范区，打造高品质生活主城区。</w:t>
      </w:r>
    </w:p>
    <w:p w14:paraId="53CDF4A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1" w:name="_Toc66442972"/>
      <w:r>
        <w:rPr>
          <w:rFonts w:hint="eastAsia" w:ascii="Times New Roman" w:hAnsi="Times New Roman" w:cs="宋体"/>
          <w:bCs w:val="0"/>
          <w:sz w:val="32"/>
          <w:szCs w:val="24"/>
        </w:rPr>
        <w:t>第二节 提升宜居环境品质</w:t>
      </w:r>
      <w:bookmarkEnd w:id="141"/>
    </w:p>
    <w:p w14:paraId="2347BF32">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推进城市有机更新</w:t>
      </w:r>
    </w:p>
    <w:p w14:paraId="645B1E0E">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以城市设计为引领，以环境改善、设施配套以及业态优化为重点，实施</w:t>
      </w:r>
      <w:r>
        <w:rPr>
          <w:rFonts w:ascii="仿宋_GB2312" w:hAnsi="仿宋_GB2312" w:eastAsia="仿宋_GB2312" w:cs="仿宋_GB2312"/>
          <w:sz w:val="32"/>
          <w:szCs w:val="32"/>
        </w:rPr>
        <w:t>34个片区旧城（棚户区）改造项目</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510个老旧小区改造项目</w:t>
      </w:r>
      <w:r>
        <w:rPr>
          <w:rFonts w:hint="eastAsia" w:ascii="仿宋_GB2312" w:hAnsi="仿宋_GB2312" w:eastAsia="仿宋_GB2312" w:cs="仿宋_GB2312"/>
          <w:sz w:val="32"/>
          <w:szCs w:val="32"/>
        </w:rPr>
        <w:t>，加快推进城市更新进程，激发都市活力，提升城市魅力。重点加强中山路、群众路、新福园片区和陇海铁路沿线的城市更新工作，推进昌荣片区和伟宝粤片区智慧社区改造，加快退城入园步伐，系统谋划老厂区功能再造。</w:t>
      </w:r>
    </w:p>
    <w:p w14:paraId="7E9D5FD0">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加快精品街区建设</w:t>
      </w:r>
    </w:p>
    <w:p w14:paraId="07533245">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建设一批具有景观效果和文化元素的精品街区、精品社区。着力提升中央金融文化商务中心品质。打造第五大道、盛世广场等夜间经济聚集区。高质量、高标准提升陈仓大道</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东风路</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新福路沿线景观风貌，推进沿线的建筑、广场、标识、景观等要素空间管控和综合整治。</w:t>
      </w:r>
    </w:p>
    <w:p w14:paraId="3FB0B81E">
      <w:pPr>
        <w:pStyle w:val="5"/>
        <w:keepNext w:val="0"/>
        <w:keepLines w:val="0"/>
        <w:numPr>
          <w:ilvl w:val="0"/>
          <w:numId w:val="14"/>
        </w:numPr>
        <w:adjustRightInd w:val="0"/>
        <w:snapToGrid w:val="0"/>
        <w:spacing w:before="0" w:after="0" w:line="600" w:lineRule="exact"/>
        <w:ind w:firstLine="643" w:firstLineChars="200"/>
        <w:rPr>
          <w:rFonts w:eastAsia="楷体"/>
        </w:rPr>
      </w:pPr>
      <w:r>
        <w:rPr>
          <w:rFonts w:hint="eastAsia" w:eastAsia="楷体"/>
        </w:rPr>
        <w:t>提升城市环境品质</w:t>
      </w:r>
    </w:p>
    <w:p w14:paraId="24211B64">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园林城市发展为导向，对违法建筑开展集中整治，更新城市电力电缆，打通断头路，形成城市道路微循环，完善城市慢行交通体系。建设城市公厕、停车场等配套设施。加快建设渭河生态景观长廊，实施城市绿荫行动。全力推进城市主街道建筑立面和背街小巷改造，加快城市广场、城市公园、口袋公园等公共活动场所建设，高品质打造宜居宜业园林城市。</w:t>
      </w:r>
    </w:p>
    <w:p w14:paraId="73B08799">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2" w:name="_Toc66442973"/>
      <w:r>
        <w:rPr>
          <w:rFonts w:hint="eastAsia" w:ascii="Times New Roman" w:hAnsi="Times New Roman" w:cs="宋体"/>
          <w:bCs w:val="0"/>
          <w:sz w:val="32"/>
          <w:szCs w:val="24"/>
        </w:rPr>
        <w:t>第三节 提高城市综合承载力</w:t>
      </w:r>
      <w:bookmarkEnd w:id="142"/>
    </w:p>
    <w:p w14:paraId="02D8803A">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提高城市创新承载力</w:t>
      </w:r>
    </w:p>
    <w:p w14:paraId="2425DF67">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加快“北上”发展步伐，推动产城融合、片区融合，做好“退城入园”相关工作，将高端制造企业转移布局到蟠龙高新区，加大主城区企业科技研发水平，积极与国内知名高校、科研院所合作，推动创新赋能，提高城市科技承载能力。</w:t>
      </w:r>
    </w:p>
    <w:p w14:paraId="734D75C2">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增强基础设施承载力</w:t>
      </w:r>
    </w:p>
    <w:p w14:paraId="739FE2D8">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优化城市路网结构，提高路网密度，以宏文路为基础</w:t>
      </w:r>
      <w:r>
        <w:rPr>
          <w:rFonts w:hint="eastAsia" w:ascii="仿宋_GB2312" w:hAnsi="仿宋_GB2312" w:eastAsia="仿宋_GB2312" w:cs="仿宋_GB2312"/>
          <w:sz w:val="32"/>
          <w:szCs w:val="32"/>
          <w:lang w:eastAsia="zh-CN"/>
        </w:rPr>
        <w:t>开辟</w:t>
      </w:r>
      <w:r>
        <w:rPr>
          <w:rFonts w:hint="eastAsia" w:ascii="仿宋_GB2312" w:hAnsi="仿宋_GB2312" w:eastAsia="仿宋_GB2312" w:cs="仿宋_GB2312"/>
          <w:sz w:val="32"/>
          <w:szCs w:val="32"/>
        </w:rPr>
        <w:t>北侧城市东西向主干道路，加大南北向道路与连霍高速市政化改造后的连接，打通行政中心和东高速入口道路，加快城市智能化停车场建设，加大停车设施供应；改造升级城市排水设施，提升供水保证率，推进污水处理提质扩能，加大再生水利用，有效提升核心区基础承载能力。</w:t>
      </w:r>
    </w:p>
    <w:p w14:paraId="344C0582">
      <w:pPr>
        <w:pStyle w:val="5"/>
        <w:keepNext w:val="0"/>
        <w:keepLines w:val="0"/>
        <w:numPr>
          <w:ilvl w:val="0"/>
          <w:numId w:val="15"/>
        </w:numPr>
        <w:adjustRightInd w:val="0"/>
        <w:snapToGrid w:val="0"/>
        <w:spacing w:before="0" w:after="0" w:line="600" w:lineRule="exact"/>
        <w:ind w:firstLine="643" w:firstLineChars="200"/>
        <w:rPr>
          <w:rFonts w:eastAsia="楷体"/>
        </w:rPr>
      </w:pPr>
      <w:r>
        <w:rPr>
          <w:rFonts w:hint="eastAsia" w:eastAsia="楷体"/>
        </w:rPr>
        <w:t>加大保障性住房建设</w:t>
      </w:r>
      <w:r>
        <w:rPr>
          <w:rFonts w:eastAsia="楷体"/>
        </w:rPr>
        <w:t xml:space="preserve"> </w:t>
      </w:r>
    </w:p>
    <w:p w14:paraId="5BCA55AE">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全力推进棚户区改造，稳步推进公共租赁住房货币补贴，创新失地农民安置方式。加快推进老旧院落改造，全力推进保障性住房建设，适度提高标准，满足人民群众不断增长的居住需求，完善社区配套设施。加强保障性住房管理，落实住房保障进入、退出和监管机制。</w:t>
      </w:r>
    </w:p>
    <w:p w14:paraId="4607952E">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3" w:name="_Toc66442974"/>
      <w:r>
        <w:rPr>
          <w:rFonts w:hint="eastAsia" w:ascii="Times New Roman" w:hAnsi="Times New Roman" w:cs="宋体"/>
          <w:bCs w:val="0"/>
          <w:sz w:val="32"/>
          <w:szCs w:val="24"/>
        </w:rPr>
        <w:t>第四节 高标准打造样板工程</w:t>
      </w:r>
      <w:bookmarkEnd w:id="143"/>
    </w:p>
    <w:p w14:paraId="23201F6D">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推进代家湾政务中心建设</w:t>
      </w:r>
    </w:p>
    <w:p w14:paraId="653B4E62">
      <w:pPr>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以市政府所在地为中心，优化南北轴线的空间秩序，加强环境整治，立体化改造行政中心广场，营造金台区现代都市形象体系。以代家湾区域为核心，形成政务功能相对集中布局地区，提升国际化城市服务水平，增强总部经济及楼宇经济发展吸引</w:t>
      </w:r>
      <w:r>
        <w:rPr>
          <w:rFonts w:hint="eastAsia" w:ascii="仿宋_GB2312" w:hAnsi="仿宋_GB2312" w:eastAsia="仿宋_GB2312" w:cs="仿宋_GB2312"/>
          <w:sz w:val="32"/>
          <w:szCs w:val="32"/>
          <w:lang w:eastAsia="zh-CN"/>
        </w:rPr>
        <w:t>力</w:t>
      </w:r>
      <w:r>
        <w:rPr>
          <w:rFonts w:hint="eastAsia" w:ascii="仿宋_GB2312" w:hAnsi="仿宋_GB2312" w:eastAsia="仿宋_GB2312" w:cs="仿宋_GB2312"/>
          <w:sz w:val="32"/>
          <w:szCs w:val="32"/>
        </w:rPr>
        <w:t>。</w:t>
      </w:r>
    </w:p>
    <w:p w14:paraId="1A8B5B7A">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推进东岭金融商务文化中心建设</w:t>
      </w:r>
    </w:p>
    <w:p w14:paraId="09D34D23">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宝鸡国金中心、东岭新天地主题商业街区为核心载体，重点发展银行保险、高端商务商贸，大力发展供应链金融、数字金融、专业服务，建设智能化生活场景，增强多元化旅游产品和体验，努力将中央金融商务文化中心、汇智中心打造为宝鸡新型城市中心、</w:t>
      </w:r>
      <w:r>
        <w:rPr>
          <w:rFonts w:hint="eastAsia" w:ascii="Times New Roman" w:hAnsi="Times New Roman" w:eastAsia="仿宋_GB2312"/>
          <w:spacing w:val="-4"/>
          <w:sz w:val="32"/>
          <w:szCs w:val="32"/>
        </w:rPr>
        <w:t>西部领先的城市金融文化商务中心集合区。</w:t>
      </w:r>
    </w:p>
    <w:p w14:paraId="0422C372">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提升宝鸡市文化艺术中心影响力</w:t>
      </w:r>
    </w:p>
    <w:p w14:paraId="2B55E7E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依托宝鸡市文化艺术中心、宝鸡大剧院，通过承办系列音乐会演出、科普展览等多种国际及国内大型文化活动和文化交流合作，积极吸纳文化创新要素，加强传统文化与现代文化融合，推进宝鸡文化艺术发展，丰富市民文化生活，提升城市文化品位，扩大国际化城市文化影响力。</w:t>
      </w:r>
    </w:p>
    <w:p w14:paraId="696A9673">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推进现代商贸服务中心建设</w:t>
      </w:r>
    </w:p>
    <w:p w14:paraId="1790819D">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通过多点布局城市综合体，打造标准的市级商贸中心，补齐生活性服务业短板，提升老城区服务功能。重点在龙丰村片区、</w:t>
      </w:r>
      <w:r>
        <w:rPr>
          <w:rFonts w:hint="eastAsia" w:ascii="Times New Roman" w:hAnsi="Times New Roman" w:eastAsia="仿宋_GB2312"/>
          <w:spacing w:val="-6"/>
          <w:sz w:val="32"/>
          <w:szCs w:val="32"/>
        </w:rPr>
        <w:t>代家湾片区、陈仓园片区、北首岭片区等区域分别建立集商业、娱乐、办公、休闲、酒店、餐饮等功能于一体的城市综合体，借助互联网经济，依托区域特征，满足消费者多样化需求和体验新诉求。</w:t>
      </w:r>
    </w:p>
    <w:p w14:paraId="55E21581">
      <w:pPr>
        <w:pStyle w:val="5"/>
        <w:keepNext w:val="0"/>
        <w:keepLines w:val="0"/>
        <w:numPr>
          <w:ilvl w:val="0"/>
          <w:numId w:val="16"/>
        </w:numPr>
        <w:adjustRightInd w:val="0"/>
        <w:snapToGrid w:val="0"/>
        <w:spacing w:before="0" w:after="0" w:line="600" w:lineRule="exact"/>
        <w:ind w:firstLine="643" w:firstLineChars="200"/>
        <w:rPr>
          <w:rFonts w:eastAsia="楷体"/>
        </w:rPr>
      </w:pPr>
      <w:r>
        <w:rPr>
          <w:rFonts w:hint="eastAsia" w:eastAsia="楷体"/>
        </w:rPr>
        <w:t>打造金台大道国际化城市“样板区”</w:t>
      </w:r>
    </w:p>
    <w:p w14:paraId="10AF2C78">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央金融商务文化中心等城市名片为引领，加快实施宝鸡汇智中心城市综合体、石油南厂片区拆迁改造、盈怀鑫苑大都汇等项目，建设多个高品质综合服务中心，提升金台大道环境品质，增强城市核心区国际化服务功能，为宝鸡建设“一带一路”上的国际化城市核心区提供有力支撑。</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A386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3403CF13">
            <w:pPr>
              <w:widowControl w:val="0"/>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 xml:space="preserve">11 </w:t>
            </w:r>
            <w:r>
              <w:rPr>
                <w:rFonts w:hint="eastAsia" w:ascii="Times New Roman" w:hAnsi="Times New Roman" w:eastAsia="黑体"/>
                <w:sz w:val="28"/>
                <w:szCs w:val="28"/>
              </w:rPr>
              <w:t>主城区重大项目</w:t>
            </w:r>
            <w:r>
              <w:rPr>
                <w:rFonts w:ascii="Times New Roman" w:hAnsi="Times New Roman" w:eastAsia="黑体"/>
                <w:sz w:val="24"/>
                <w:szCs w:val="24"/>
              </w:rPr>
              <w:t xml:space="preserve"> </w:t>
            </w:r>
          </w:p>
        </w:tc>
      </w:tr>
      <w:tr w14:paraId="4D7D2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Pr>
          <w:p w14:paraId="7EC47EF4">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1.旧城（棚户区）改造项目。</w:t>
            </w:r>
            <w:r>
              <w:rPr>
                <w:rFonts w:hint="eastAsia" w:ascii="仿宋_GB2312" w:hAnsi="仿宋_GB2312" w:eastAsia="仿宋_GB2312" w:cs="仿宋_GB2312"/>
                <w:sz w:val="28"/>
                <w:szCs w:val="28"/>
              </w:rPr>
              <w:t>实施太平堡、长青村片区、北首岭片区等34个片区旧城（棚户区）改造项目，投资约636.3亿元。</w:t>
            </w:r>
          </w:p>
          <w:p w14:paraId="3972558F">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2.老旧小区改造项目。</w:t>
            </w:r>
            <w:r>
              <w:rPr>
                <w:rFonts w:hint="eastAsia" w:ascii="仿宋_GB2312" w:hAnsi="仿宋_GB2312" w:eastAsia="仿宋_GB2312" w:cs="仿宋_GB2312"/>
                <w:sz w:val="28"/>
                <w:szCs w:val="28"/>
              </w:rPr>
              <w:t>实施宝中路</w:t>
            </w:r>
            <w:r>
              <w:rPr>
                <w:rFonts w:ascii="仿宋_GB2312" w:hAnsi="仿宋_GB2312" w:eastAsia="仿宋_GB2312" w:cs="仿宋_GB2312"/>
                <w:sz w:val="28"/>
                <w:szCs w:val="28"/>
              </w:rPr>
              <w:t>17号院</w:t>
            </w:r>
            <w:r>
              <w:rPr>
                <w:rFonts w:hint="eastAsia" w:ascii="仿宋_GB2312" w:hAnsi="仿宋_GB2312" w:eastAsia="仿宋_GB2312" w:cs="仿宋_GB2312"/>
                <w:sz w:val="28"/>
                <w:szCs w:val="28"/>
              </w:rPr>
              <w:t>、长青路</w:t>
            </w:r>
            <w:r>
              <w:rPr>
                <w:rFonts w:ascii="仿宋_GB2312" w:hAnsi="仿宋_GB2312" w:eastAsia="仿宋_GB2312" w:cs="仿宋_GB2312"/>
                <w:sz w:val="28"/>
                <w:szCs w:val="28"/>
              </w:rPr>
              <w:t>6号院</w:t>
            </w:r>
            <w:r>
              <w:rPr>
                <w:rFonts w:hint="eastAsia" w:ascii="仿宋_GB2312" w:hAnsi="仿宋_GB2312" w:eastAsia="仿宋_GB2312" w:cs="仿宋_GB2312"/>
                <w:sz w:val="28"/>
                <w:szCs w:val="28"/>
              </w:rPr>
              <w:t>等462个老旧小区改造项目，投资约55.18亿元。</w:t>
            </w:r>
          </w:p>
          <w:p w14:paraId="39720D46">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3.城市综合体项目。</w:t>
            </w:r>
            <w:r>
              <w:rPr>
                <w:rFonts w:hint="eastAsia" w:ascii="仿宋_GB2312" w:hAnsi="仿宋_GB2312" w:eastAsia="仿宋_GB2312" w:cs="仿宋_GB2312"/>
                <w:sz w:val="28"/>
                <w:szCs w:val="28"/>
              </w:rPr>
              <w:t>代家湾片区、龙丰村片区、南坡村片区、陈仓园片区和北首岭片区城市综合体，投资约342亿元。</w:t>
            </w:r>
          </w:p>
          <w:p w14:paraId="66DB5F20">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4.宝鸡时代广场项目。</w:t>
            </w:r>
            <w:r>
              <w:rPr>
                <w:rFonts w:hint="eastAsia" w:ascii="仿宋_GB2312" w:hAnsi="仿宋_GB2312" w:eastAsia="仿宋_GB2312" w:cs="仿宋_GB2312"/>
                <w:sz w:val="28"/>
                <w:szCs w:val="28"/>
              </w:rPr>
              <w:t>位于金台大道东段，建设高端商务写字楼，容纳金融、文化、商务等总部企业入驻，投资约10亿元。</w:t>
            </w:r>
          </w:p>
          <w:p w14:paraId="1BF40B8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5.金台区斗中路商务区暨宝鸡汇智中心项目。</w:t>
            </w:r>
            <w:r>
              <w:rPr>
                <w:rFonts w:hint="eastAsia" w:ascii="仿宋_GB2312" w:hAnsi="仿宋_GB2312" w:eastAsia="仿宋_GB2312" w:cs="仿宋_GB2312"/>
                <w:sz w:val="28"/>
                <w:szCs w:val="28"/>
              </w:rPr>
              <w:t>建设200米超高层地标性建筑、高档办公楼、高品质酒店及住宅、配套商业等，投资约</w:t>
            </w:r>
            <w:r>
              <w:rPr>
                <w:rFonts w:ascii="仿宋_GB2312" w:hAnsi="仿宋_GB2312" w:eastAsia="仿宋_GB2312" w:cs="仿宋_GB2312"/>
                <w:sz w:val="28"/>
                <w:szCs w:val="28"/>
              </w:rPr>
              <w:t>30</w:t>
            </w:r>
            <w:r>
              <w:rPr>
                <w:rFonts w:hint="eastAsia" w:ascii="仿宋_GB2312" w:hAnsi="仿宋_GB2312" w:eastAsia="仿宋_GB2312" w:cs="仿宋_GB2312"/>
                <w:sz w:val="28"/>
                <w:szCs w:val="28"/>
              </w:rPr>
              <w:t>亿元。</w:t>
            </w:r>
          </w:p>
          <w:p w14:paraId="16850708">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6.城市品质提升工程。</w:t>
            </w:r>
            <w:r>
              <w:rPr>
                <w:rFonts w:hint="eastAsia" w:ascii="仿宋_GB2312" w:hAnsi="仿宋_GB2312" w:eastAsia="仿宋_GB2312" w:cs="仿宋_GB2312"/>
                <w:sz w:val="28"/>
                <w:szCs w:val="28"/>
              </w:rPr>
              <w:t>东岭商贸中心和行政中心片区功能提升、环境景观整治、老城商圈建设、厕所革命等工程。</w:t>
            </w:r>
          </w:p>
          <w:p w14:paraId="063128C1">
            <w:pPr>
              <w:widowControl w:val="0"/>
              <w:adjustRightInd w:val="0"/>
              <w:snapToGrid w:val="0"/>
              <w:spacing w:line="400" w:lineRule="exact"/>
              <w:ind w:firstLine="562" w:firstLineChars="200"/>
              <w:jc w:val="both"/>
              <w:rPr>
                <w:rFonts w:ascii="仿宋_GB2312" w:hAnsi="仿宋_GB2312" w:eastAsia="仿宋_GB2312" w:cs="仿宋_GB2312"/>
                <w:spacing w:val="-8"/>
                <w:sz w:val="28"/>
                <w:szCs w:val="28"/>
              </w:rPr>
            </w:pPr>
            <w:r>
              <w:rPr>
                <w:rFonts w:hint="eastAsia" w:ascii="仿宋_GB2312" w:hAnsi="仿宋_GB2312" w:eastAsia="仿宋_GB2312" w:cs="仿宋_GB2312"/>
                <w:b/>
                <w:sz w:val="28"/>
                <w:szCs w:val="28"/>
              </w:rPr>
              <w:t>7.海绵城市建设工程</w:t>
            </w:r>
            <w:r>
              <w:rPr>
                <w:rFonts w:hint="eastAsia" w:ascii="仿宋_GB2312" w:hAnsi="仿宋_GB2312" w:eastAsia="仿宋_GB2312" w:cs="仿宋_GB2312"/>
                <w:b/>
                <w:spacing w:val="-8"/>
                <w:sz w:val="28"/>
                <w:szCs w:val="28"/>
              </w:rPr>
              <w:t>。</w:t>
            </w:r>
            <w:r>
              <w:rPr>
                <w:rFonts w:hint="eastAsia" w:ascii="仿宋_GB2312" w:hAnsi="仿宋_GB2312" w:eastAsia="仿宋_GB2312" w:cs="仿宋_GB2312"/>
                <w:spacing w:val="-8"/>
                <w:sz w:val="28"/>
                <w:szCs w:val="28"/>
              </w:rPr>
              <w:t>中水回收利用、海绵城市、综合管廊建设。</w:t>
            </w:r>
          </w:p>
          <w:p w14:paraId="238B4FC4">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w:t>
            </w:r>
            <w:r>
              <w:rPr>
                <w:rFonts w:ascii="仿宋_GB2312" w:hAnsi="仿宋_GB2312" w:eastAsia="仿宋_GB2312" w:cs="仿宋_GB2312"/>
                <w:b/>
                <w:sz w:val="28"/>
                <w:szCs w:val="28"/>
              </w:rPr>
              <w:t>.</w:t>
            </w:r>
            <w:r>
              <w:rPr>
                <w:rFonts w:hint="eastAsia" w:ascii="仿宋_GB2312" w:hAnsi="仿宋_GB2312" w:eastAsia="仿宋_GB2312" w:cs="仿宋_GB2312"/>
                <w:b/>
                <w:sz w:val="28"/>
                <w:szCs w:val="28"/>
              </w:rPr>
              <w:t>陇海铁路—引渭渠沿线城市更新。</w:t>
            </w:r>
            <w:r>
              <w:rPr>
                <w:rFonts w:hint="eastAsia" w:ascii="仿宋_GB2312" w:hAnsi="仿宋_GB2312" w:eastAsia="仿宋_GB2312" w:cs="仿宋_GB2312"/>
                <w:sz w:val="28"/>
                <w:szCs w:val="28"/>
              </w:rPr>
              <w:t>东西长约</w:t>
            </w:r>
            <w:r>
              <w:rPr>
                <w:rFonts w:ascii="仿宋_GB2312" w:hAnsi="仿宋_GB2312" w:eastAsia="仿宋_GB2312" w:cs="仿宋_GB2312"/>
                <w:sz w:val="28"/>
                <w:szCs w:val="28"/>
              </w:rPr>
              <w:t>15公里、南北宽约0.5公里，城市功能完善</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路网梳理</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环境提升</w:t>
            </w:r>
            <w:r>
              <w:rPr>
                <w:rFonts w:hint="eastAsia" w:ascii="仿宋_GB2312" w:hAnsi="仿宋_GB2312" w:eastAsia="仿宋_GB2312" w:cs="仿宋_GB2312"/>
                <w:sz w:val="28"/>
                <w:szCs w:val="28"/>
              </w:rPr>
              <w:t>，投资约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tc>
      </w:tr>
    </w:tbl>
    <w:p w14:paraId="5EA3595C">
      <w:pPr>
        <w:rPr>
          <w:rFonts w:ascii="Times New Roman" w:hAnsi="Times New Roman"/>
        </w:rPr>
        <w:sectPr>
          <w:pgSz w:w="11907" w:h="16840"/>
          <w:pgMar w:top="1440" w:right="1474" w:bottom="1440" w:left="1588" w:header="851" w:footer="992" w:gutter="0"/>
          <w:cols w:space="425" w:num="1"/>
          <w:docGrid w:linePitch="312" w:charSpace="0"/>
        </w:sectPr>
      </w:pPr>
    </w:p>
    <w:p w14:paraId="6CBFA009">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44" w:name="_Toc66442975"/>
      <w:r>
        <w:rPr>
          <w:rFonts w:eastAsia="方正小标宋简体"/>
          <w:b w:val="0"/>
          <w:iCs/>
          <w:kern w:val="2"/>
          <w:sz w:val="36"/>
          <w:szCs w:val="36"/>
        </w:rPr>
        <w:t>加快蟠龙高新区建设，打造发展新引擎</w:t>
      </w:r>
      <w:bookmarkEnd w:id="144"/>
    </w:p>
    <w:p w14:paraId="3419A2D4">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立足“科教新城、康养新城、生态新城”功能定位，引导医疗、教育、养老等资源向蟠龙高新区布局，聚集人口，着重发展战略性新兴产业，构建与老城区差异化发展的现代化新城。到2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年，三城建设取得重大进展。到2</w:t>
      </w:r>
      <w:r>
        <w:rPr>
          <w:rFonts w:ascii="Times New Roman" w:hAnsi="Times New Roman" w:eastAsia="仿宋_GB2312" w:cs="仿宋_GB2312"/>
          <w:sz w:val="32"/>
          <w:szCs w:val="32"/>
        </w:rPr>
        <w:t>035</w:t>
      </w:r>
      <w:r>
        <w:rPr>
          <w:rFonts w:hint="eastAsia" w:ascii="Times New Roman" w:hAnsi="Times New Roman" w:eastAsia="仿宋_GB2312" w:cs="仿宋_GB2312"/>
          <w:sz w:val="32"/>
          <w:szCs w:val="32"/>
        </w:rPr>
        <w:t>年，城市功能不断完善，辐射带动作用明显增强。</w:t>
      </w:r>
    </w:p>
    <w:p w14:paraId="03DD620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5" w:name="_Toc66442976"/>
      <w:r>
        <w:rPr>
          <w:rFonts w:hint="eastAsia" w:ascii="Times New Roman" w:hAnsi="Times New Roman" w:cs="宋体"/>
          <w:bCs w:val="0"/>
          <w:sz w:val="32"/>
          <w:szCs w:val="24"/>
        </w:rPr>
        <w:t>第一节 实施</w:t>
      </w:r>
      <w:r>
        <w:rPr>
          <w:rFonts w:hint="eastAsia" w:ascii="Times New Roman" w:hAnsi="Times New Roman" w:cs="宋体"/>
          <w:bCs w:val="0"/>
          <w:sz w:val="32"/>
          <w:szCs w:val="24"/>
          <w:lang w:eastAsia="zh-CN"/>
        </w:rPr>
        <w:t>创新驱动发展战略</w:t>
      </w:r>
      <w:bookmarkEnd w:id="145"/>
    </w:p>
    <w:p w14:paraId="7FE2E1A5">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建立“双链”互动模式</w:t>
      </w:r>
    </w:p>
    <w:p w14:paraId="58AA059C">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围绕产业链布局创新链。</w:t>
      </w:r>
      <w:r>
        <w:rPr>
          <w:rFonts w:hint="eastAsia" w:ascii="Times New Roman" w:hAnsi="Times New Roman" w:eastAsia="仿宋_GB2312" w:cs="仿宋_GB2312"/>
          <w:sz w:val="32"/>
          <w:szCs w:val="32"/>
        </w:rPr>
        <w:t>推进企业技术创新，加快创新资源向产业集聚，培育创新动能。推动与西安交通大学、西北工业大学、西安电子科技大学在</w:t>
      </w:r>
      <w:r>
        <w:rPr>
          <w:rFonts w:ascii="Times New Roman" w:hAnsi="Times New Roman" w:eastAsia="仿宋_GB2312" w:cs="仿宋_GB2312"/>
          <w:sz w:val="32"/>
          <w:szCs w:val="32"/>
        </w:rPr>
        <w:t>5G</w:t>
      </w:r>
      <w:r>
        <w:rPr>
          <w:rFonts w:hint="eastAsia" w:ascii="Times New Roman" w:hAnsi="Times New Roman" w:eastAsia="仿宋_GB2312" w:cs="仿宋_GB2312"/>
          <w:sz w:val="32"/>
          <w:szCs w:val="32"/>
        </w:rPr>
        <w:t>、大数据、人工智能等前沿学科的合作，创建科技成果转化中心，培育形成以科教、大健康为主导的产业链。</w:t>
      </w:r>
    </w:p>
    <w:p w14:paraId="42042074">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围绕创新链布局产业链。</w:t>
      </w:r>
      <w:r>
        <w:rPr>
          <w:rFonts w:hint="eastAsia" w:ascii="Times New Roman" w:hAnsi="Times New Roman" w:eastAsia="仿宋_GB2312" w:cs="仿宋_GB2312"/>
          <w:sz w:val="32"/>
          <w:szCs w:val="32"/>
        </w:rPr>
        <w:t>坚持把培育高新技术企业和科技型中小企业作为推动产业转型升级的核心任务。发挥重大项目辐射带动作用，加快促进新一代信息技术、航空航天等</w:t>
      </w:r>
      <w:r>
        <w:rPr>
          <w:rFonts w:hint="eastAsia" w:ascii="Times New Roman" w:hAnsi="Times New Roman" w:eastAsia="仿宋_GB2312" w:cs="仿宋_GB2312"/>
          <w:sz w:val="32"/>
          <w:szCs w:val="32"/>
          <w:lang w:eastAsia="zh-CN"/>
        </w:rPr>
        <w:t>战略性</w:t>
      </w:r>
      <w:r>
        <w:rPr>
          <w:rFonts w:hint="eastAsia" w:ascii="Times New Roman" w:hAnsi="Times New Roman" w:eastAsia="仿宋_GB2312" w:cs="仿宋_GB2312"/>
          <w:sz w:val="32"/>
          <w:szCs w:val="32"/>
        </w:rPr>
        <w:t>新兴产业发展，打造百亿级产业集群。</w:t>
      </w:r>
    </w:p>
    <w:p w14:paraId="6B0A83B2">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打造“双链”服务平台。</w:t>
      </w:r>
      <w:r>
        <w:rPr>
          <w:rFonts w:hint="eastAsia" w:ascii="Times New Roman" w:hAnsi="Times New Roman" w:eastAsia="仿宋_GB2312" w:cs="仿宋_GB2312"/>
          <w:sz w:val="32"/>
          <w:szCs w:val="32"/>
        </w:rPr>
        <w:t>制定扶持政策，吸引科研机构入区建设研发平台和中试中心，加快高新技术的研发和转化。加快建设科创中心，引进各类科研人才创新创业。探索建立市场化运营模式和管理方式的综合服务模式，整合创新资源，拓展线上、线下综合服务，打造区内产业综合体。</w:t>
      </w:r>
    </w:p>
    <w:p w14:paraId="627A05E4">
      <w:pPr>
        <w:pStyle w:val="8"/>
      </w:pPr>
    </w:p>
    <w:p w14:paraId="3DE5E6FB">
      <w:pPr>
        <w:pStyle w:val="5"/>
        <w:keepNext w:val="0"/>
        <w:keepLines w:val="0"/>
        <w:numPr>
          <w:ilvl w:val="0"/>
          <w:numId w:val="17"/>
        </w:numPr>
        <w:adjustRightInd w:val="0"/>
        <w:snapToGrid w:val="0"/>
        <w:spacing w:before="0" w:after="0" w:line="600" w:lineRule="exact"/>
        <w:ind w:firstLine="643" w:firstLineChars="200"/>
        <w:rPr>
          <w:rFonts w:eastAsia="楷体"/>
        </w:rPr>
      </w:pPr>
      <w:r>
        <w:rPr>
          <w:rFonts w:hint="eastAsia" w:eastAsia="楷体"/>
        </w:rPr>
        <w:t>提高科技创新能力</w:t>
      </w:r>
    </w:p>
    <w:p w14:paraId="5E666A94">
      <w:pPr>
        <w:widowControl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培育创新型领军企业。</w:t>
      </w:r>
      <w:r>
        <w:rPr>
          <w:rFonts w:hint="eastAsia" w:ascii="Times New Roman" w:hAnsi="Times New Roman" w:eastAsia="仿宋_GB2312"/>
          <w:sz w:val="32"/>
          <w:szCs w:val="32"/>
        </w:rPr>
        <w:t>推动企业成为技术创新决策、研发投入、科研组织和成果转化的主体。积极构建“初创企业一科技型中小企业一高新技术企业一瞪羚企业”的企业创新体</w:t>
      </w:r>
      <w:r>
        <w:rPr>
          <w:rFonts w:hint="eastAsia" w:ascii="Times New Roman" w:hAnsi="Times New Roman" w:eastAsia="仿宋_GB2312" w:cs="仿宋_GB2312"/>
          <w:sz w:val="32"/>
          <w:szCs w:val="32"/>
        </w:rPr>
        <w:t>系，</w:t>
      </w:r>
      <w:r>
        <w:rPr>
          <w:rFonts w:hint="eastAsia" w:ascii="Times New Roman" w:hAnsi="Times New Roman" w:eastAsia="仿宋_GB2312"/>
          <w:sz w:val="32"/>
          <w:szCs w:val="32"/>
        </w:rPr>
        <w:t>加快科教、大健康、文化、体育产业大发展，不断提升创新能级。</w:t>
      </w:r>
    </w:p>
    <w:p w14:paraId="16C7026E">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建设创新平台。</w:t>
      </w:r>
      <w:r>
        <w:rPr>
          <w:rFonts w:hint="eastAsia" w:ascii="仿宋_GB2312" w:hAnsi="仿宋_GB2312" w:eastAsia="仿宋_GB2312" w:cs="仿宋_GB2312"/>
          <w:sz w:val="32"/>
          <w:szCs w:val="32"/>
        </w:rPr>
        <w:t>引进一批创新型、成长型企业，建设3个以上省市级重点实验室，形成2个区域型产业技术创新战略联盟。充分利用区内高校、大型企业自有科技和办公场所，创办科技企业孵化器和众创空间，开展科技创业服务，</w:t>
      </w:r>
    </w:p>
    <w:p w14:paraId="1F0F3A8A">
      <w:pPr>
        <w:widowControl w:val="0"/>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仿宋_GB2312" w:hAnsi="仿宋_GB2312" w:eastAsia="仿宋_GB2312" w:cs="仿宋_GB2312"/>
          <w:b/>
          <w:sz w:val="32"/>
          <w:szCs w:val="32"/>
        </w:rPr>
        <w:t>实施重大科技项目。</w:t>
      </w:r>
      <w:r>
        <w:rPr>
          <w:rFonts w:hint="eastAsia" w:ascii="仿宋_GB2312" w:hAnsi="仿宋_GB2312" w:eastAsia="仿宋_GB2312" w:cs="仿宋_GB2312"/>
          <w:sz w:val="32"/>
          <w:szCs w:val="32"/>
        </w:rPr>
        <w:t>充分发挥政府资金引导激励放大倍增作用，引导全社会更多资金投向科技创新。加大全社会研究与试验发展经费(R&amp;D)投入，支持企业在科教、大健康、文化、体育等领域进行技术研究和创新，争创名牌产品，进一步提高企业市场竞争力。</w:t>
      </w:r>
    </w:p>
    <w:p w14:paraId="7E91C01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6" w:name="_Toc66442977"/>
      <w:r>
        <w:rPr>
          <w:rFonts w:hint="eastAsia" w:ascii="Times New Roman" w:hAnsi="Times New Roman" w:cs="宋体"/>
          <w:bCs w:val="0"/>
          <w:sz w:val="32"/>
          <w:szCs w:val="24"/>
        </w:rPr>
        <w:t>第二节 推动产业高质量发展</w:t>
      </w:r>
      <w:bookmarkEnd w:id="146"/>
    </w:p>
    <w:p w14:paraId="2C3C0A85">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夯实科教产业基础</w:t>
      </w:r>
    </w:p>
    <w:p w14:paraId="0ECCD2C7">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加快建设以中北学院、亚太学院等中等职业学校为骨干、精品专业和特色专业为支撑的现代职业教育体系。推进产教融合、校企合作，擦亮“宝鸡技工”品牌，打造丝绸之路经济带职业教育高地。承接市上引进的2所本科院校落户新区，争取宝鸡技师学院、宝鸡铁路技师学院落地新区，促进高等教育高质量发展。建设党建廉政教育基地，开展干部教育、红色廉政文化教育培训，完善职业农民、产业工人、下岗工人再就业、继续教育等教育培训内容体系。搭建“蟠龙云”智慧教育平台。聚焦人工智能、大数据、航空航天等领域，促进高校院所与蟠龙产业集群开展全方位协同创新，打造集技术研发、科技孵化、产业开发、教育培训为一体的大学城科技产业园。</w:t>
      </w:r>
    </w:p>
    <w:p w14:paraId="12599F1C">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大力发展大健康产业</w:t>
      </w:r>
    </w:p>
    <w:p w14:paraId="0100D936">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创新发展健康食品产业链，挖掘宝鸡特色小吃影响广的优势，建设特色食品产业集群，发展营养及保健食品产业。引导支持企业加大可穿戴健康监测设备、医用人工智能设备、康复辅助器具、养老助残机器人等高端智能化健康产品的研发生产。大力发展健康管理服务，加快完善蟠龙高新区预防保健产业链，推动疾病治疗向健康促进转变。建设一批中高端养老养生基地，开展各类集养生、度假、休闲于一体的度假式养老服务，积极发展“住、养、医、护、康”于一体的医养结合服务体系。鼓励发展中医养生馆、中医养生街区，开展中医药养生保健、特色康复、健康养老和健康旅游相结合的健康服务新业态。</w:t>
      </w:r>
    </w:p>
    <w:p w14:paraId="761F024B">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培育壮大文创产业</w:t>
      </w:r>
    </w:p>
    <w:p w14:paraId="098F485B">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高标准建设蟠龙影视文化基地，积极引进西安曲江影视等</w:t>
      </w:r>
      <w:r>
        <w:rPr>
          <w:rFonts w:hint="eastAsia" w:ascii="仿宋_GB2312" w:hAnsi="仿宋_GB2312" w:eastAsia="仿宋_GB2312" w:cs="仿宋_GB2312"/>
          <w:spacing w:val="-2"/>
          <w:sz w:val="32"/>
          <w:szCs w:val="32"/>
          <w:lang w:eastAsia="zh-CN"/>
        </w:rPr>
        <w:t>知名企业</w:t>
      </w:r>
      <w:r>
        <w:rPr>
          <w:rFonts w:hint="eastAsia" w:ascii="仿宋_GB2312" w:hAnsi="仿宋_GB2312" w:eastAsia="仿宋_GB2312" w:cs="仿宋_GB2312"/>
          <w:spacing w:val="-2"/>
          <w:sz w:val="32"/>
          <w:szCs w:val="32"/>
        </w:rPr>
        <w:t>，按照“投资</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制作</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院线</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三位一体模式，打造电影、电视剧、纪录片的投资、制作、发行基地。依托蟠龙文化公园，深入挖掘姜炎文化、周秦文化之源，展示宝鸡历史名人、自然风光、名胜古迹，推进宝鸡市国防教育基地建设，积极争取航空集团在蟠龙建设“飞翔梦”航空体验馆，打造“航空</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旅游</w:t>
      </w:r>
      <w:r>
        <w:rPr>
          <w:rFonts w:ascii="仿宋_GB2312" w:hAnsi="仿宋_GB2312" w:eastAsia="仿宋_GB2312" w:cs="仿宋_GB2312"/>
          <w:spacing w:val="-2"/>
          <w:sz w:val="32"/>
          <w:szCs w:val="32"/>
        </w:rPr>
        <w:t>”</w:t>
      </w:r>
      <w:r>
        <w:rPr>
          <w:rFonts w:hint="eastAsia" w:ascii="仿宋_GB2312" w:hAnsi="仿宋_GB2312" w:eastAsia="仿宋_GB2312" w:cs="仿宋_GB2312"/>
          <w:spacing w:val="-2"/>
          <w:sz w:val="32"/>
          <w:szCs w:val="32"/>
        </w:rPr>
        <w:t>立体式旅游全新体验游。大力发展文创产品、广告创意与设计、工业与建筑设计等产业，加快特色旅游纪念品、工艺品的研发设计，丰富文化产品。</w:t>
      </w:r>
    </w:p>
    <w:p w14:paraId="68A0D44A">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加快发展体育产业</w:t>
      </w:r>
    </w:p>
    <w:p w14:paraId="1FB11C60">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引进行业龙头企业入驻，建设体育用品研发、制造中心。支持专业体育院校、培训学校、行业协会、俱乐部等落户新区，开展体育运动项目专业化培训。逐步完善环城慢行系统，拓展山地户外运动空间，推进传统体育与非遗文化融合，承接各类规模化比赛，深化体育健身产业。争取国内知名电竞职业俱乐部和产业链配套企业落户蟠龙高新区。引进知名品牌体育用品公司，培育本土化产业品牌，形成完整体育用品营销服务体系。积极推动体育传媒与信息服务，打造西北体育全媒体平台和产业服务平台。</w:t>
      </w:r>
    </w:p>
    <w:p w14:paraId="1BAB2521">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全面发展现代服务业</w:t>
      </w:r>
    </w:p>
    <w:p w14:paraId="046317BF">
      <w:pPr>
        <w:adjustRightInd w:val="0"/>
        <w:snapToGrid w:val="0"/>
        <w:spacing w:line="560" w:lineRule="exact"/>
        <w:ind w:firstLine="632" w:firstLineChars="200"/>
        <w:jc w:val="both"/>
        <w:rPr>
          <w:rFonts w:ascii="仿宋_GB2312" w:hAnsi="仿宋_GB2312" w:eastAsia="仿宋_GB2312" w:cs="仿宋_GB2312"/>
          <w:spacing w:val="-2"/>
          <w:sz w:val="32"/>
          <w:szCs w:val="32"/>
        </w:rPr>
      </w:pPr>
      <w:r>
        <w:rPr>
          <w:rFonts w:hint="eastAsia" w:ascii="仿宋_GB2312" w:hAnsi="仿宋_GB2312" w:eastAsia="仿宋_GB2312" w:cs="仿宋_GB2312"/>
          <w:spacing w:val="-2"/>
          <w:sz w:val="32"/>
          <w:szCs w:val="32"/>
        </w:rPr>
        <w:t>利用蟠龙观邸总部经济大楼和沿街金融CBD，积极引进研发设计、法律服务、现代金融等服务业，发展总部经济产业集群。围绕北绕城高速建设和食品产业园布局，引进专业化冷链物流企业，建设蟠龙高新区冷链物流、食品配送等集散中心，完善城市冷链配送系统。提升现代商贸产业发展水平和集聚程度，打造城市核心商圈，开发“衣、食、购、住、娱”商业街区，发展高品质、新业态、主题型综合体项目。大力发展网红经济，培育引进一批“网红”人才，积极推进“网红经济”与“实体经济”自主融合。构建城市夜游体系，开发相应的旅游产品，打造蟠龙夜旅地标。</w:t>
      </w:r>
    </w:p>
    <w:p w14:paraId="67647D71">
      <w:pPr>
        <w:pStyle w:val="5"/>
        <w:keepNext w:val="0"/>
        <w:keepLines w:val="0"/>
        <w:numPr>
          <w:ilvl w:val="0"/>
          <w:numId w:val="18"/>
        </w:numPr>
        <w:adjustRightInd w:val="0"/>
        <w:snapToGrid w:val="0"/>
        <w:spacing w:before="0" w:after="0" w:line="600" w:lineRule="exact"/>
        <w:ind w:firstLine="643" w:firstLineChars="200"/>
        <w:rPr>
          <w:rFonts w:eastAsia="楷体"/>
        </w:rPr>
      </w:pPr>
      <w:r>
        <w:rPr>
          <w:rFonts w:hint="eastAsia" w:eastAsia="楷体"/>
        </w:rPr>
        <w:t>培育战略性新兴产业</w:t>
      </w:r>
    </w:p>
    <w:p w14:paraId="1655E651">
      <w:pPr>
        <w:widowControl w:val="0"/>
        <w:adjustRightInd w:val="0"/>
        <w:snapToGrid w:val="0"/>
        <w:spacing w:line="560" w:lineRule="exact"/>
        <w:ind w:firstLine="643" w:firstLineChars="200"/>
        <w:jc w:val="both"/>
        <w:rPr>
          <w:rFonts w:ascii="仿宋_GB2312" w:hAnsi="仿宋_GB2312" w:eastAsia="仿宋_GB2312" w:cs="仿宋_GB2312"/>
          <w:b/>
          <w:sz w:val="32"/>
          <w:szCs w:val="32"/>
        </w:rPr>
      </w:pPr>
      <w:r>
        <w:rPr>
          <w:rFonts w:hint="eastAsia" w:ascii="仿宋_GB2312" w:hAnsi="仿宋_GB2312" w:eastAsia="仿宋_GB2312" w:cs="仿宋_GB2312"/>
          <w:b/>
          <w:sz w:val="32"/>
          <w:szCs w:val="32"/>
        </w:rPr>
        <w:t>新一代信息技术</w:t>
      </w:r>
      <w:r>
        <w:rPr>
          <w:rFonts w:hint="eastAsia" w:ascii="仿宋_GB2312" w:hAnsi="仿宋_GB2312" w:eastAsia="仿宋_GB2312" w:cs="仿宋_GB2312"/>
          <w:sz w:val="32"/>
          <w:szCs w:val="32"/>
        </w:rPr>
        <w:t>，引进国际国内5G骨干企业，夯实5G产业基础，加快软件信息服务产业发展；积极发展大数据产业，全面推进数字会客厅、智慧城市、数字文化产业园等重大项目建设；开发面向人工智能的关键基础软件产品，重点研制智能工业机器人、智能教育、文娱、服务机器人以及特种智能机器人（救灾、水下救援）等人工智能产品。</w:t>
      </w:r>
      <w:r>
        <w:rPr>
          <w:rFonts w:hint="eastAsia" w:ascii="仿宋_GB2312" w:hAnsi="仿宋_GB2312" w:eastAsia="仿宋_GB2312" w:cs="仿宋_GB2312"/>
          <w:b/>
          <w:sz w:val="32"/>
          <w:szCs w:val="32"/>
        </w:rPr>
        <w:t>航空航天，</w:t>
      </w:r>
      <w:r>
        <w:rPr>
          <w:rFonts w:hint="eastAsia" w:ascii="仿宋_GB2312" w:hAnsi="仿宋_GB2312" w:eastAsia="仿宋_GB2312" w:cs="仿宋_GB2312"/>
          <w:sz w:val="32"/>
          <w:szCs w:val="32"/>
        </w:rPr>
        <w:t>努力突破航空传感器、导航和识别导航综合系统等关键技术，推进无线电导航接收设备、无线通讯、飞行安全环境监测系统等上下游关联产业研发，重点发展临空装备制造，航空电力系统、航空锻件精密锻造加工、高温合金零部件等产业。</w:t>
      </w:r>
      <w:r>
        <w:rPr>
          <w:rFonts w:hint="eastAsia" w:ascii="仿宋_GB2312" w:hAnsi="仿宋_GB2312" w:eastAsia="仿宋_GB2312" w:cs="仿宋_GB2312"/>
          <w:b/>
          <w:sz w:val="32"/>
          <w:szCs w:val="32"/>
        </w:rPr>
        <w:t>电子信息，</w:t>
      </w:r>
      <w:r>
        <w:rPr>
          <w:rFonts w:hint="eastAsia" w:ascii="仿宋_GB2312" w:hAnsi="仿宋_GB2312" w:eastAsia="仿宋_GB2312" w:cs="仿宋_GB2312"/>
          <w:sz w:val="32"/>
          <w:szCs w:val="32"/>
        </w:rPr>
        <w:t>以关键技术突破促进产业升级，以完善产业链配套推动产业集群发展，重点发展新型元器件、半导体照明、激光等领域，培育发展数字家庭领域，力争把新区建成国内一流的新型元器件产业基地、国内具有较强竞争力的光电子信息产业集群。</w:t>
      </w:r>
      <w:bookmarkStart w:id="147" w:name="_Toc58424590"/>
    </w:p>
    <w:p w14:paraId="1D0F4E2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8" w:name="_Toc66442978"/>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打通对外交通链接</w:t>
      </w:r>
      <w:bookmarkEnd w:id="147"/>
      <w:bookmarkEnd w:id="148"/>
    </w:p>
    <w:p w14:paraId="3124F1B9">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加强综合立体交通体系建设，强化对外交通联系，加快北绕城高速等骨干道路网建设，拉大城市框架。通过宝蟠路</w:t>
      </w:r>
      <w:r>
        <w:rPr>
          <w:rFonts w:ascii="Times New Roman" w:hAnsi="Times New Roman" w:eastAsia="仿宋_GB2312"/>
          <w:sz w:val="32"/>
          <w:szCs w:val="32"/>
        </w:rPr>
        <w:t>-</w:t>
      </w:r>
      <w:r>
        <w:rPr>
          <w:rFonts w:hint="eastAsia" w:ascii="Times New Roman" w:hAnsi="Times New Roman" w:eastAsia="仿宋_GB2312"/>
          <w:sz w:val="32"/>
          <w:szCs w:val="32"/>
        </w:rPr>
        <w:t>塔寺头路连接蟠龙高新区与胜利塬，扩大旅游合作，促进金台区经济增长。通过蟠高快线</w:t>
      </w:r>
      <w:r>
        <w:rPr>
          <w:rFonts w:ascii="Times New Roman" w:hAnsi="Times New Roman" w:eastAsia="仿宋_GB2312"/>
          <w:sz w:val="32"/>
          <w:szCs w:val="32"/>
        </w:rPr>
        <w:t>-</w:t>
      </w:r>
      <w:r>
        <w:rPr>
          <w:rFonts w:hint="eastAsia" w:ascii="Times New Roman" w:hAnsi="Times New Roman" w:eastAsia="仿宋_GB2312"/>
          <w:sz w:val="32"/>
          <w:szCs w:val="32"/>
        </w:rPr>
        <w:t>规划路、蟠高快线</w:t>
      </w:r>
      <w:r>
        <w:rPr>
          <w:rFonts w:ascii="Times New Roman" w:hAnsi="Times New Roman" w:eastAsia="仿宋_GB2312"/>
          <w:sz w:val="32"/>
          <w:szCs w:val="32"/>
        </w:rPr>
        <w:t>-</w:t>
      </w:r>
      <w:r>
        <w:rPr>
          <w:rFonts w:hint="eastAsia" w:ascii="Times New Roman" w:hAnsi="Times New Roman" w:eastAsia="仿宋_GB2312"/>
          <w:sz w:val="32"/>
          <w:szCs w:val="32"/>
        </w:rPr>
        <w:t>龙川路、上塬路</w:t>
      </w:r>
      <w:r>
        <w:rPr>
          <w:rFonts w:ascii="Times New Roman" w:hAnsi="Times New Roman" w:eastAsia="仿宋_GB2312"/>
          <w:sz w:val="32"/>
          <w:szCs w:val="32"/>
        </w:rPr>
        <w:t>-</w:t>
      </w:r>
      <w:r>
        <w:rPr>
          <w:rFonts w:hint="eastAsia" w:ascii="Times New Roman" w:hAnsi="Times New Roman" w:eastAsia="仿宋_GB2312"/>
          <w:sz w:val="32"/>
          <w:szCs w:val="32"/>
        </w:rPr>
        <w:t>龙腾路、龙盘东路</w:t>
      </w:r>
      <w:r>
        <w:rPr>
          <w:rFonts w:ascii="Times New Roman" w:hAnsi="Times New Roman" w:eastAsia="仿宋_GB2312"/>
          <w:sz w:val="32"/>
          <w:szCs w:val="32"/>
        </w:rPr>
        <w:t>-</w:t>
      </w:r>
      <w:r>
        <w:rPr>
          <w:rFonts w:hint="eastAsia" w:ascii="Times New Roman" w:hAnsi="Times New Roman" w:eastAsia="仿宋_GB2312"/>
          <w:sz w:val="32"/>
          <w:szCs w:val="32"/>
        </w:rPr>
        <w:t>旭东路连接蟠龙高新区与主城区。加强政策引导和资金支持，加快市场对接，支持主城区企业上塬，扩大产业合作，加强科技支持，加大智力支持力度，扩大劳务培训合作，促进经济发展，提升区域产业水平。通过底县路</w:t>
      </w:r>
      <w:r>
        <w:rPr>
          <w:rFonts w:ascii="Times New Roman" w:hAnsi="Times New Roman" w:eastAsia="仿宋_GB2312"/>
          <w:sz w:val="32"/>
          <w:szCs w:val="32"/>
        </w:rPr>
        <w:t>-</w:t>
      </w:r>
      <w:r>
        <w:rPr>
          <w:rFonts w:hint="eastAsia" w:ascii="Times New Roman" w:hAnsi="Times New Roman" w:eastAsia="仿宋_GB2312"/>
          <w:sz w:val="32"/>
          <w:szCs w:val="32"/>
        </w:rPr>
        <w:t>蟠龙大道连接陈仓组团物流会展中心，加强交流沟通，健全合作机制，推动合作深入开展，畅通与陈仓组团的经济交流通道。</w:t>
      </w:r>
    </w:p>
    <w:p w14:paraId="4E15638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49" w:name="_Toc66442979"/>
      <w:r>
        <w:rPr>
          <w:rFonts w:hint="eastAsia" w:ascii="Times New Roman" w:hAnsi="Times New Roman" w:cs="宋体"/>
          <w:bCs w:val="0"/>
          <w:sz w:val="32"/>
          <w:szCs w:val="24"/>
        </w:rPr>
        <w:t>第四节 着力提升城乡新品质</w:t>
      </w:r>
      <w:bookmarkEnd w:id="149"/>
    </w:p>
    <w:p w14:paraId="40FB14E7">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强化新区核心功能</w:t>
      </w:r>
    </w:p>
    <w:p w14:paraId="5F3E46C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推动蟠龙高新区产业高端化和功能现代化。强化产业带动，围绕大健康、教育、文化、体育及现代服务业等支柱产业，培育壮大信息技术、人工智能、新经济等战略性新兴产业。不断提升城市配套功能，推进市政设施智能化。强化功能配套，加快提升文化、卫生、教育、养老等基本公共服务的供给质量，提升蟠龙高新区高端要素聚集能力。</w:t>
      </w:r>
    </w:p>
    <w:p w14:paraId="02AB6AAD">
      <w:pPr>
        <w:pStyle w:val="5"/>
        <w:keepNext w:val="0"/>
        <w:keepLines w:val="0"/>
        <w:numPr>
          <w:ilvl w:val="0"/>
          <w:numId w:val="19"/>
        </w:numPr>
        <w:adjustRightInd w:val="0"/>
        <w:snapToGrid w:val="0"/>
        <w:spacing w:before="0" w:after="0" w:line="600" w:lineRule="exact"/>
        <w:ind w:firstLine="643" w:firstLineChars="200"/>
        <w:rPr>
          <w:rFonts w:eastAsia="楷体"/>
        </w:rPr>
      </w:pPr>
      <w:r>
        <w:rPr>
          <w:rFonts w:hint="eastAsia" w:eastAsia="楷体"/>
        </w:rPr>
        <w:t>营造高品质生活环境</w:t>
      </w:r>
    </w:p>
    <w:p w14:paraId="0780D174">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严格落实国土空间规划，加强对城市公园、蟠龙山历史村落、城市核心区、文化中心等新建区域城市空间立体性、平面协调性、风貌整体性、文脉延续性等方面的规划和管控，加快生态绿廊、城市运动公园等建设进度，实施蟠龙观邸、中共宝鸡市委党校（蟠龙校区）等主要建筑物照明工程及部分道路亮化工程，发挥蟠龙塬非物质文化遗产、历史人文等资源优势，注重城市文化传承创新。打造城市绿道慢行系统，全力打造青禾塬尚田园综合体等项目建设，加强区域内景点建设。加快建设蟠龙文化公园景观小品与休憩观景点，提升改造无障碍设施，完善旅游设施建设。推进棚户区拆迁改造，加快完善城市功能配套，引进知名开发商，推进大型中高端社区建设，推动人口高密度集聚，推进产城人融合进程。</w:t>
      </w:r>
    </w:p>
    <w:p w14:paraId="5ADC43FA">
      <w:pPr>
        <w:pStyle w:val="8"/>
      </w:pPr>
    </w:p>
    <w:p w14:paraId="549EDFCA">
      <w:pPr>
        <w:pStyle w:val="8"/>
      </w:pPr>
    </w:p>
    <w:p w14:paraId="2404148D">
      <w:pPr>
        <w:pStyle w:val="8"/>
      </w:pPr>
    </w:p>
    <w:p w14:paraId="2BA1737D">
      <w:pPr>
        <w:pStyle w:val="8"/>
      </w:pPr>
    </w:p>
    <w:p w14:paraId="47056069">
      <w:pPr>
        <w:pStyle w:val="8"/>
      </w:pPr>
    </w:p>
    <w:p w14:paraId="59DF4903">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6FAD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0306AAE1">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蟠龙高新区重大项目</w:t>
            </w:r>
            <w:r>
              <w:rPr>
                <w:rFonts w:ascii="Times New Roman" w:hAnsi="Times New Roman" w:eastAsia="黑体"/>
                <w:sz w:val="24"/>
                <w:szCs w:val="24"/>
              </w:rPr>
              <w:t xml:space="preserve"> </w:t>
            </w:r>
          </w:p>
        </w:tc>
      </w:tr>
      <w:tr w14:paraId="4B903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6B6C7BD2">
            <w:pPr>
              <w:adjustRightInd w:val="0"/>
              <w:snapToGrid w:val="0"/>
              <w:spacing w:line="360" w:lineRule="exact"/>
              <w:ind w:firstLine="562" w:firstLineChars="200"/>
              <w:rPr>
                <w:rFonts w:ascii="仿宋_GB2312" w:hAnsi="仿宋_GB2312" w:eastAsia="仿宋_GB2312" w:cs="仿宋_GB2312"/>
              </w:rPr>
            </w:pPr>
            <w:r>
              <w:rPr>
                <w:rFonts w:ascii="仿宋_GB2312" w:hAnsi="仿宋_GB2312" w:eastAsia="仿宋_GB2312" w:cs="仿宋_GB2312"/>
                <w:b/>
                <w:bCs/>
                <w:sz w:val="28"/>
                <w:szCs w:val="28"/>
              </w:rPr>
              <w:t>1</w:t>
            </w:r>
            <w:r>
              <w:rPr>
                <w:rFonts w:hint="eastAsia" w:ascii="仿宋_GB2312" w:hAnsi="仿宋_GB2312" w:eastAsia="仿宋_GB2312" w:cs="仿宋_GB2312"/>
                <w:b/>
                <w:bCs/>
                <w:sz w:val="28"/>
                <w:szCs w:val="28"/>
              </w:rPr>
              <w:t>.蟠龙高新区健康食品（擀面皮）产业园。</w:t>
            </w:r>
            <w:r>
              <w:rPr>
                <w:rFonts w:hint="eastAsia" w:ascii="仿宋_GB2312" w:hAnsi="仿宋_GB2312" w:eastAsia="仿宋_GB2312" w:cs="仿宋_GB2312"/>
                <w:sz w:val="28"/>
                <w:szCs w:val="28"/>
              </w:rPr>
              <w:t>依托擀面皮，建设食品加工、技术研究、产业展示交易中心、电子商务中心、仓储物流等投资约</w:t>
            </w:r>
            <w:r>
              <w:rPr>
                <w:rFonts w:ascii="仿宋_GB2312" w:hAnsi="仿宋_GB2312" w:eastAsia="仿宋_GB2312" w:cs="仿宋_GB2312"/>
                <w:sz w:val="28"/>
                <w:szCs w:val="28"/>
              </w:rPr>
              <w:t>5</w:t>
            </w:r>
            <w:r>
              <w:rPr>
                <w:rFonts w:hint="eastAsia" w:ascii="仿宋_GB2312" w:hAnsi="仿宋_GB2312" w:eastAsia="仿宋_GB2312" w:cs="仿宋_GB2312"/>
                <w:sz w:val="28"/>
                <w:szCs w:val="28"/>
              </w:rPr>
              <w:t>亿元。</w:t>
            </w:r>
          </w:p>
          <w:p w14:paraId="30612D7D">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2</w:t>
            </w:r>
            <w:r>
              <w:rPr>
                <w:rFonts w:hint="eastAsia" w:ascii="仿宋_GB2312" w:hAnsi="仿宋_GB2312" w:eastAsia="仿宋_GB2312" w:cs="仿宋_GB2312"/>
                <w:b/>
                <w:sz w:val="28"/>
                <w:szCs w:val="28"/>
              </w:rPr>
              <w:t>.蟠龙高新区医疗器械产业园项目。</w:t>
            </w:r>
            <w:r>
              <w:rPr>
                <w:rFonts w:hint="eastAsia" w:ascii="仿宋_GB2312" w:hAnsi="仿宋_GB2312" w:eastAsia="仿宋_GB2312" w:cs="仿宋_GB2312"/>
                <w:sz w:val="28"/>
                <w:szCs w:val="28"/>
              </w:rPr>
              <w:t>引进医疗器械等企业，医疗器械板块计划引进疫苗研发生产、ⅡⅢ类医疗器械研发、生产等，</w:t>
            </w:r>
            <w:r>
              <w:rPr>
                <w:rFonts w:hint="eastAsia" w:ascii="仿宋_GB2312" w:hAnsi="仿宋_GB2312" w:eastAsia="仿宋_GB2312" w:cs="仿宋_GB2312"/>
                <w:spacing w:val="-6"/>
                <w:sz w:val="28"/>
                <w:szCs w:val="28"/>
              </w:rPr>
              <w:t>投资约20亿元。</w:t>
            </w:r>
          </w:p>
          <w:p w14:paraId="67250B63">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.蟠龙高新区东升大道南片区冯家崖村东壕村小村村三村棚户区改造项目。</w:t>
            </w:r>
            <w:r>
              <w:rPr>
                <w:rFonts w:hint="eastAsia" w:ascii="仿宋_GB2312" w:hAnsi="仿宋_GB2312" w:eastAsia="仿宋_GB2312" w:cs="仿宋_GB2312"/>
                <w:sz w:val="28"/>
                <w:szCs w:val="28"/>
              </w:rPr>
              <w:t>对冯家崖村、东壕村和小村村3个行政村进行改造，并配套给排水、道路、供暖、燃气等工程，投资约12亿元。</w:t>
            </w:r>
          </w:p>
          <w:p w14:paraId="6774949B">
            <w:pPr>
              <w:adjustRightInd w:val="0"/>
              <w:snapToGrid w:val="0"/>
              <w:spacing w:line="360" w:lineRule="exact"/>
              <w:ind w:firstLine="562" w:firstLineChars="200"/>
              <w:jc w:val="both"/>
              <w:rPr>
                <w:rFonts w:ascii="仿宋_GB2312" w:hAnsi="仿宋_GB2312" w:eastAsia="仿宋_GB2312" w:cs="仿宋_GB2312"/>
                <w:b/>
                <w:sz w:val="28"/>
                <w:szCs w:val="28"/>
              </w:rPr>
            </w:pPr>
            <w:r>
              <w:rPr>
                <w:rFonts w:ascii="仿宋_GB2312" w:hAnsi="仿宋_GB2312" w:eastAsia="仿宋_GB2312" w:cs="仿宋_GB2312"/>
                <w:b/>
                <w:sz w:val="28"/>
                <w:szCs w:val="28"/>
              </w:rPr>
              <w:t>4</w:t>
            </w:r>
            <w:r>
              <w:rPr>
                <w:rFonts w:hint="eastAsia" w:ascii="仿宋_GB2312" w:hAnsi="仿宋_GB2312" w:eastAsia="仿宋_GB2312" w:cs="仿宋_GB2312"/>
                <w:b/>
                <w:sz w:val="28"/>
                <w:szCs w:val="28"/>
              </w:rPr>
              <w:t>.蟠龙高新区观山堂项目。</w:t>
            </w:r>
            <w:r>
              <w:rPr>
                <w:rFonts w:hint="eastAsia" w:ascii="仿宋_GB2312" w:hAnsi="仿宋_GB2312" w:eastAsia="仿宋_GB2312" w:cs="仿宋_GB2312"/>
                <w:sz w:val="28"/>
                <w:szCs w:val="28"/>
              </w:rPr>
              <w:t>占地约328亩，建筑面积47.6万平方米，布置住宅、配套商业，投资约20亿元。</w:t>
            </w:r>
          </w:p>
          <w:p w14:paraId="72F076BF">
            <w:pPr>
              <w:adjustRightInd w:val="0"/>
              <w:snapToGrid w:val="0"/>
              <w:spacing w:line="360" w:lineRule="exact"/>
              <w:ind w:firstLine="562" w:firstLineChars="200"/>
              <w:jc w:val="both"/>
              <w:rPr>
                <w:rFonts w:ascii="仿宋_GB2312" w:hAnsi="仿宋_GB2312" w:eastAsia="仿宋_GB2312" w:cs="仿宋_GB2312"/>
                <w:bCs/>
                <w:sz w:val="28"/>
                <w:szCs w:val="28"/>
              </w:rPr>
            </w:pPr>
            <w:r>
              <w:rPr>
                <w:rFonts w:ascii="仿宋_GB2312" w:hAnsi="仿宋_GB2312" w:eastAsia="仿宋_GB2312" w:cs="仿宋_GB2312"/>
                <w:b/>
                <w:sz w:val="28"/>
                <w:szCs w:val="28"/>
              </w:rPr>
              <w:t>5</w:t>
            </w:r>
            <w:r>
              <w:rPr>
                <w:rFonts w:hint="eastAsia" w:ascii="仿宋_GB2312" w:hAnsi="仿宋_GB2312" w:eastAsia="仿宋_GB2312" w:cs="仿宋_GB2312"/>
                <w:b/>
                <w:sz w:val="28"/>
                <w:szCs w:val="28"/>
              </w:rPr>
              <w:t>.宝鸡文理学院科技创新园暨新校区（一期）项目。</w:t>
            </w:r>
            <w:r>
              <w:rPr>
                <w:rFonts w:hint="eastAsia" w:ascii="仿宋_GB2312" w:hAnsi="仿宋_GB2312" w:eastAsia="仿宋_GB2312" w:cs="仿宋_GB2312"/>
                <w:bCs/>
                <w:sz w:val="28"/>
                <w:szCs w:val="28"/>
              </w:rPr>
              <w:t>建设科技创新园及新校区，配套工科教学楼、宿舍楼、实训中心、运动场等，投资约15亿元。</w:t>
            </w:r>
          </w:p>
          <w:p w14:paraId="1AAC7040">
            <w:pPr>
              <w:adjustRightInd w:val="0"/>
              <w:snapToGrid w:val="0"/>
              <w:spacing w:line="36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6</w:t>
            </w:r>
            <w:r>
              <w:rPr>
                <w:rFonts w:hint="eastAsia" w:ascii="仿宋_GB2312" w:hAnsi="仿宋_GB2312" w:eastAsia="仿宋_GB2312" w:cs="仿宋_GB2312"/>
                <w:b/>
                <w:sz w:val="28"/>
                <w:szCs w:val="28"/>
              </w:rPr>
              <w:t>.蟠龙高新区总部经济产业园配套设施项目。</w:t>
            </w:r>
            <w:r>
              <w:rPr>
                <w:rFonts w:ascii="仿宋_GB2312" w:hAnsi="仿宋_GB2312" w:eastAsia="仿宋_GB2312" w:cs="仿宋_GB2312"/>
                <w:sz w:val="28"/>
                <w:szCs w:val="28"/>
              </w:rPr>
              <w:t>引进总部企业100家</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建设产业园区</w:t>
            </w:r>
            <w:r>
              <w:rPr>
                <w:rFonts w:hint="eastAsia" w:ascii="仿宋_GB2312" w:hAnsi="仿宋_GB2312" w:eastAsia="仿宋_GB2312" w:cs="仿宋_GB2312"/>
                <w:sz w:val="28"/>
                <w:szCs w:val="28"/>
              </w:rPr>
              <w:t>主体建筑及配套</w:t>
            </w:r>
            <w:r>
              <w:rPr>
                <w:rFonts w:ascii="仿宋_GB2312" w:hAnsi="仿宋_GB2312" w:eastAsia="仿宋_GB2312" w:cs="仿宋_GB2312"/>
                <w:sz w:val="28"/>
                <w:szCs w:val="28"/>
              </w:rPr>
              <w:t>设施</w:t>
            </w:r>
            <w:r>
              <w:rPr>
                <w:rFonts w:hint="eastAsia" w:ascii="仿宋_GB2312" w:hAnsi="仿宋_GB2312" w:eastAsia="仿宋_GB2312" w:cs="仿宋_GB2312"/>
                <w:sz w:val="28"/>
                <w:szCs w:val="28"/>
              </w:rPr>
              <w:t>，</w:t>
            </w:r>
            <w:r>
              <w:rPr>
                <w:rFonts w:hint="eastAsia" w:ascii="仿宋_GB2312" w:hAnsi="仿宋_GB2312" w:eastAsia="仿宋_GB2312" w:cs="仿宋_GB2312"/>
                <w:spacing w:val="-4"/>
                <w:sz w:val="28"/>
                <w:szCs w:val="28"/>
              </w:rPr>
              <w:t>投资约7亿元</w:t>
            </w:r>
            <w:r>
              <w:rPr>
                <w:rFonts w:hint="eastAsia" w:ascii="仿宋_GB2312" w:hAnsi="仿宋_GB2312" w:eastAsia="仿宋_GB2312" w:cs="仿宋_GB2312"/>
                <w:sz w:val="28"/>
                <w:szCs w:val="28"/>
              </w:rPr>
              <w:t>。</w:t>
            </w:r>
          </w:p>
          <w:p w14:paraId="74BB208E">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7.蟠龙之眼。</w:t>
            </w:r>
            <w:r>
              <w:rPr>
                <w:rFonts w:hint="eastAsia" w:ascii="仿宋_GB2312" w:hAnsi="仿宋_GB2312" w:eastAsia="仿宋_GB2312" w:cs="仿宋_GB2312"/>
                <w:sz w:val="28"/>
                <w:szCs w:val="28"/>
              </w:rPr>
              <w:t>新建城市展厅及健身中心、</w:t>
            </w:r>
            <w:r>
              <w:rPr>
                <w:rFonts w:ascii="仿宋_GB2312" w:hAnsi="仿宋_GB2312" w:eastAsia="仿宋_GB2312" w:cs="仿宋_GB2312"/>
                <w:sz w:val="28"/>
                <w:szCs w:val="28"/>
              </w:rPr>
              <w:t>社区服务中心</w:t>
            </w:r>
            <w:r>
              <w:rPr>
                <w:rFonts w:hint="eastAsia" w:ascii="仿宋_GB2312" w:hAnsi="仿宋_GB2312" w:eastAsia="仿宋_GB2312" w:cs="仿宋_GB2312"/>
                <w:sz w:val="28"/>
                <w:szCs w:val="28"/>
              </w:rPr>
              <w:t>、</w:t>
            </w:r>
            <w:r>
              <w:rPr>
                <w:rFonts w:ascii="仿宋_GB2312" w:hAnsi="仿宋_GB2312" w:eastAsia="仿宋_GB2312" w:cs="仿宋_GB2312"/>
                <w:sz w:val="28"/>
                <w:szCs w:val="28"/>
              </w:rPr>
              <w:t>空中全景城市客厅</w:t>
            </w:r>
            <w:r>
              <w:rPr>
                <w:rFonts w:hint="eastAsia" w:ascii="仿宋_GB2312" w:hAnsi="仿宋_GB2312" w:eastAsia="仿宋_GB2312" w:cs="仿宋_GB2312"/>
                <w:sz w:val="28"/>
                <w:szCs w:val="28"/>
              </w:rPr>
              <w:t>及配套设施，投资约0.5亿元。</w:t>
            </w:r>
          </w:p>
          <w:p w14:paraId="3A3E356D">
            <w:pPr>
              <w:adjustRightInd w:val="0"/>
              <w:snapToGrid w:val="0"/>
              <w:spacing w:line="36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8.蟠龙高新区陕西机电职业技术学院迁建项目。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tc>
      </w:tr>
      <w:bookmarkEnd w:id="130"/>
    </w:tbl>
    <w:p w14:paraId="5869DFA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sectPr>
          <w:footerReference r:id="rId7" w:type="default"/>
          <w:pgSz w:w="11907" w:h="16840"/>
          <w:pgMar w:top="1440" w:right="1474" w:bottom="1440" w:left="1588" w:header="851" w:footer="992" w:gutter="0"/>
          <w:cols w:space="425" w:num="1"/>
          <w:docGrid w:linePitch="312" w:charSpace="0"/>
        </w:sectPr>
      </w:pPr>
      <w:bookmarkStart w:id="150" w:name="_Toc53863301"/>
      <w:bookmarkStart w:id="151" w:name="_Toc50710106"/>
      <w:bookmarkStart w:id="152" w:name="_Toc50988322"/>
      <w:bookmarkStart w:id="153" w:name="_Toc50988070"/>
      <w:bookmarkStart w:id="154" w:name="_Toc42610359"/>
    </w:p>
    <w:p w14:paraId="5E28C62C">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55" w:name="_Toc66442980"/>
      <w:r>
        <w:rPr>
          <w:rFonts w:hint="eastAsia" w:eastAsia="方正小标宋简体"/>
          <w:b w:val="0"/>
          <w:iCs/>
          <w:kern w:val="2"/>
          <w:sz w:val="36"/>
          <w:szCs w:val="36"/>
        </w:rPr>
        <w:t>全面推进乡村振兴，创造幸福美好新生活</w:t>
      </w:r>
      <w:bookmarkEnd w:id="150"/>
      <w:bookmarkEnd w:id="151"/>
      <w:bookmarkEnd w:id="152"/>
      <w:bookmarkEnd w:id="153"/>
      <w:bookmarkEnd w:id="155"/>
    </w:p>
    <w:p w14:paraId="6CED9B33">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做好</w:t>
      </w:r>
      <w:r>
        <w:rPr>
          <w:rFonts w:hint="eastAsia" w:ascii="Times New Roman" w:hAnsi="Times New Roman" w:eastAsia="仿宋_GB2312"/>
          <w:sz w:val="32"/>
          <w:szCs w:val="32"/>
          <w:lang w:eastAsia="zh-CN"/>
        </w:rPr>
        <w:t>巩固拓展脱贫攻坚成果同乡村振兴有效衔接</w:t>
      </w:r>
      <w:r>
        <w:rPr>
          <w:rFonts w:hint="eastAsia" w:ascii="Times New Roman" w:hAnsi="Times New Roman" w:eastAsia="仿宋_GB2312"/>
          <w:sz w:val="32"/>
          <w:szCs w:val="32"/>
        </w:rPr>
        <w:t>，推动减贫战略和工作体系向全面推进乡村振兴平稳过渡，发挥金台特色和优势，</w:t>
      </w:r>
      <w:r>
        <w:rPr>
          <w:rFonts w:ascii="Times New Roman" w:hAnsi="Times New Roman" w:eastAsia="仿宋_GB2312"/>
          <w:sz w:val="32"/>
          <w:szCs w:val="32"/>
        </w:rPr>
        <w:t>突</w:t>
      </w:r>
      <w:r>
        <w:rPr>
          <w:rFonts w:hint="eastAsia" w:ascii="Times New Roman" w:hAnsi="Times New Roman" w:eastAsia="仿宋_GB2312"/>
          <w:sz w:val="32"/>
          <w:szCs w:val="32"/>
        </w:rPr>
        <w:t>出“巩固</w:t>
      </w:r>
      <w:r>
        <w:rPr>
          <w:rFonts w:hint="eastAsia" w:ascii="Times New Roman" w:hAnsi="Times New Roman" w:eastAsia="仿宋_GB2312"/>
          <w:sz w:val="32"/>
          <w:szCs w:val="32"/>
          <w:lang w:val="en-US" w:eastAsia="zh-CN"/>
        </w:rPr>
        <w:t>拓展</w:t>
      </w:r>
      <w:r>
        <w:rPr>
          <w:rFonts w:hint="eastAsia" w:ascii="Times New Roman" w:hAnsi="Times New Roman" w:eastAsia="仿宋_GB2312"/>
          <w:sz w:val="32"/>
          <w:szCs w:val="32"/>
        </w:rPr>
        <w:t>脱贫</w:t>
      </w:r>
      <w:r>
        <w:rPr>
          <w:rFonts w:hint="eastAsia" w:ascii="Times New Roman" w:hAnsi="Times New Roman" w:eastAsia="仿宋_GB2312"/>
          <w:sz w:val="32"/>
          <w:szCs w:val="32"/>
          <w:lang w:val="en-US" w:eastAsia="zh-CN"/>
        </w:rPr>
        <w:t>攻坚</w:t>
      </w:r>
      <w:r>
        <w:rPr>
          <w:rFonts w:hint="eastAsia" w:ascii="Times New Roman" w:hAnsi="Times New Roman" w:eastAsia="仿宋_GB2312"/>
          <w:sz w:val="32"/>
          <w:szCs w:val="32"/>
        </w:rPr>
        <w:t>成果、产业发展、美丽村镇、乡村改革”四个重点，持续按照“稳粮、增收、美丽、有序、幸福”的要求，实施乡村建设行动，促进农业高质高效、乡村宜居宜业、农民富裕富足。到</w:t>
      </w:r>
      <w:r>
        <w:rPr>
          <w:rFonts w:ascii="Times New Roman" w:hAnsi="Times New Roman" w:eastAsia="仿宋_GB2312"/>
          <w:sz w:val="32"/>
          <w:szCs w:val="32"/>
        </w:rPr>
        <w:t>2025年，</w:t>
      </w:r>
      <w:r>
        <w:rPr>
          <w:rFonts w:hint="eastAsia" w:ascii="Times New Roman" w:hAnsi="Times New Roman" w:eastAsia="仿宋_GB2312"/>
          <w:sz w:val="32"/>
          <w:szCs w:val="32"/>
        </w:rPr>
        <w:t>脱贫攻坚成果巩固扩展，乡村振兴全面推进</w:t>
      </w:r>
      <w:r>
        <w:rPr>
          <w:rFonts w:ascii="Times New Roman" w:hAnsi="Times New Roman" w:eastAsia="仿宋_GB2312"/>
          <w:sz w:val="32"/>
          <w:szCs w:val="32"/>
        </w:rPr>
        <w:t>。到2035年，</w:t>
      </w:r>
      <w:r>
        <w:rPr>
          <w:rFonts w:hint="eastAsia" w:ascii="Times New Roman" w:hAnsi="Times New Roman" w:eastAsia="仿宋_GB2312"/>
          <w:sz w:val="32"/>
          <w:szCs w:val="32"/>
        </w:rPr>
        <w:t>农村经济实力显著增强，乡村振兴取得重大进展，城乡差距进一步缩小</w:t>
      </w:r>
      <w:r>
        <w:rPr>
          <w:rFonts w:ascii="Times New Roman" w:hAnsi="Times New Roman" w:eastAsia="仿宋_GB2312"/>
          <w:sz w:val="32"/>
          <w:szCs w:val="32"/>
        </w:rPr>
        <w:t>。</w:t>
      </w:r>
    </w:p>
    <w:p w14:paraId="6C4912F8">
      <w:pPr>
        <w:pStyle w:val="4"/>
        <w:widowControl w:val="0"/>
        <w:spacing w:before="240" w:beforeLines="100" w:after="240" w:afterLines="100" w:line="600" w:lineRule="exact"/>
        <w:ind w:firstLine="0" w:firstLineChars="0"/>
        <w:jc w:val="center"/>
        <w:rPr>
          <w:rFonts w:hint="eastAsia" w:ascii="Times New Roman" w:hAnsi="Times New Roman" w:eastAsia="黑体" w:cs="宋体"/>
          <w:bCs w:val="0"/>
          <w:sz w:val="32"/>
          <w:szCs w:val="24"/>
          <w:lang w:eastAsia="zh-CN"/>
        </w:rPr>
      </w:pPr>
      <w:bookmarkStart w:id="156" w:name="_Toc50988074"/>
      <w:bookmarkStart w:id="157" w:name="_Toc50988326"/>
      <w:bookmarkStart w:id="158" w:name="_Toc53863305"/>
      <w:bookmarkStart w:id="159" w:name="_Toc50710110"/>
      <w:bookmarkStart w:id="160" w:name="_Toc287381"/>
      <w:bookmarkStart w:id="161" w:name="_Toc66442981"/>
      <w:r>
        <w:rPr>
          <w:rFonts w:hint="eastAsia" w:ascii="Times New Roman" w:hAnsi="Times New Roman" w:cs="宋体"/>
          <w:bCs w:val="0"/>
          <w:sz w:val="32"/>
          <w:szCs w:val="24"/>
        </w:rPr>
        <w:t>第一节</w:t>
      </w:r>
      <w:r>
        <w:rPr>
          <w:rFonts w:ascii="Times New Roman" w:hAnsi="Times New Roman" w:cs="宋体"/>
          <w:bCs w:val="0"/>
          <w:sz w:val="32"/>
          <w:szCs w:val="24"/>
        </w:rPr>
        <w:t xml:space="preserve"> </w:t>
      </w:r>
      <w:bookmarkEnd w:id="156"/>
      <w:bookmarkEnd w:id="157"/>
      <w:bookmarkEnd w:id="158"/>
      <w:bookmarkEnd w:id="159"/>
      <w:bookmarkEnd w:id="160"/>
      <w:bookmarkEnd w:id="161"/>
      <w:r>
        <w:rPr>
          <w:rFonts w:hint="eastAsia" w:ascii="Times New Roman" w:hAnsi="Times New Roman" w:cs="宋体"/>
          <w:bCs w:val="0"/>
          <w:sz w:val="32"/>
          <w:szCs w:val="24"/>
          <w:lang w:eastAsia="zh-CN"/>
        </w:rPr>
        <w:t>巩固拓展脱贫攻坚成果</w:t>
      </w:r>
    </w:p>
    <w:p w14:paraId="00658227">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以产业脱贫增效富民、就业创业稳定增收、健康扶贫贴心惠民、“两房”建设安居乐业、教育扶贫阳光助学、兜底保障织网暖心、扶贫资产规范管理、金融扶贫持续跟进、基础设施共管共享、组织领导长效推进等“十大提升行动”为统揽，全面</w:t>
      </w:r>
      <w:r>
        <w:rPr>
          <w:rFonts w:hint="eastAsia" w:ascii="Times New Roman" w:hAnsi="Times New Roman" w:eastAsia="仿宋_GB2312"/>
          <w:sz w:val="32"/>
          <w:szCs w:val="32"/>
          <w:lang w:eastAsia="zh-CN"/>
        </w:rPr>
        <w:t>巩固拓展脱贫攻坚成果</w:t>
      </w:r>
      <w:r>
        <w:rPr>
          <w:rFonts w:hint="eastAsia" w:ascii="Times New Roman" w:hAnsi="Times New Roman" w:eastAsia="仿宋_GB2312"/>
          <w:sz w:val="32"/>
          <w:szCs w:val="32"/>
        </w:rPr>
        <w:t>，确保工作不留空档、政策不留空白。</w:t>
      </w:r>
    </w:p>
    <w:p w14:paraId="50183061">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坚持长短产业结合，多村联动，整镇推进，发展特色主导产业，持续发展壮大扶贫产业，加强产业发展基础设施建设，拓展销售渠道，创新流通方式，促进稳定销售。做好脱贫人口稳岗就业，加大对脱贫人口职业技能培训力度，建立促进创业带动就业、多渠道灵活就业机制，支持和规范发展新就业形态。扎实做好异地搬迁后续帮扶工作，加强配套基础设施和公共服务设施建设，提升社区治理能力。加强资金资产管理，完善农村公共基础设施管护和经营性扶贫资产管理机制，落实管理责任、强化经营管护、规范收益分配，持续发挥效益。完善监测预警和动态帮扶机制，继续对脱贫人口开展监测，持续跟踪收入变化和“两不愁三保障”巩固情况，定期核查，及时发现，及时帮扶，动态清零，有效防止一般农户致贫、脱贫人口返贫。深入推进多种形式的消费扶贫，完善带贫益贫的长效机制，实现脱贫人口持续增收，稳定脱贫。加大金融支持力度，支持开发性和政策性金融机构在业务范围内为脱贫地区乡村振兴提供中长期信贷服务。</w:t>
      </w:r>
    </w:p>
    <w:p w14:paraId="2FEF651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62" w:name="_Toc53863302"/>
      <w:bookmarkStart w:id="163" w:name="_Toc50988323"/>
      <w:bookmarkStart w:id="164" w:name="_Toc50710107"/>
      <w:bookmarkStart w:id="165" w:name="_Toc50988071"/>
      <w:bookmarkStart w:id="166" w:name="_Toc66442982"/>
      <w:r>
        <w:rPr>
          <w:rFonts w:hint="eastAsia" w:ascii="Times New Roman" w:hAnsi="Times New Roman" w:cs="宋体"/>
          <w:bCs w:val="0"/>
          <w:sz w:val="32"/>
          <w:szCs w:val="24"/>
        </w:rPr>
        <w:t>第二节 加快发展现代农业</w:t>
      </w:r>
      <w:bookmarkEnd w:id="162"/>
      <w:bookmarkEnd w:id="163"/>
      <w:bookmarkEnd w:id="164"/>
      <w:bookmarkEnd w:id="165"/>
      <w:bookmarkEnd w:id="166"/>
    </w:p>
    <w:p w14:paraId="477B1238">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构建现代农业产业体系</w:t>
      </w:r>
    </w:p>
    <w:p w14:paraId="43F22204">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紧扣省市“3+X”产业发展布局，围绕做优鲜杂果、做强近郊农业、做大柴胡药材，发展乡村旅游、农产品加工、创意农业等业态，推进数字农业发展，进一步做实项目落地、示范带动，构建金台现代农业产业体系。大力发展现代都市农业，以乡村观光农业、生态循环农业、都市体验农业为发展方向，抓好“菜篮子”工程，积极推动都市农家、都市农庄、都市农业示范园区等各类都市农业经营单位进行规模化发展、标准化服务、特色化经营，建设都市农业公园，实现金台区都市农业的跨越式发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6372A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5000" w:type="pct"/>
          </w:tcPr>
          <w:p w14:paraId="0819229E">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现代农业产业体系</w:t>
            </w:r>
            <w:r>
              <w:rPr>
                <w:rFonts w:ascii="Times New Roman" w:hAnsi="Times New Roman" w:eastAsia="黑体"/>
                <w:sz w:val="24"/>
                <w:szCs w:val="24"/>
              </w:rPr>
              <w:t xml:space="preserve"> </w:t>
            </w:r>
          </w:p>
        </w:tc>
      </w:tr>
      <w:tr w14:paraId="36E77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000" w:type="pct"/>
          </w:tcPr>
          <w:p w14:paraId="2A51C054">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1.时令杂果产业。</w:t>
            </w:r>
            <w:r>
              <w:rPr>
                <w:rFonts w:hint="eastAsia" w:ascii="仿宋_GB2312" w:hAnsi="仿宋_GB2312" w:eastAsia="仿宋_GB2312" w:cs="仿宋_GB2312"/>
                <w:sz w:val="28"/>
                <w:szCs w:val="28"/>
              </w:rPr>
              <w:t>以金河、硖石、蟠龙镇为重点，大力发展葡萄、樱桃、草莓等时令鲜杂果和核桃、山楂等干杂果产业，打造塬区优质鲜杂果优势产业带。</w:t>
            </w:r>
          </w:p>
          <w:p w14:paraId="2000FBB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2.城郊观光农业。</w:t>
            </w:r>
            <w:r>
              <w:rPr>
                <w:rFonts w:hint="eastAsia" w:ascii="仿宋_GB2312" w:hAnsi="仿宋_GB2312" w:eastAsia="仿宋_GB2312" w:cs="仿宋_GB2312"/>
                <w:sz w:val="28"/>
                <w:szCs w:val="28"/>
              </w:rPr>
              <w:t>在马家塬建设城郊都市农业产业园，开展休闲农业采摘、体验、观光等。</w:t>
            </w:r>
          </w:p>
          <w:p w14:paraId="6688B2E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3.乡村旅游。</w:t>
            </w:r>
            <w:r>
              <w:rPr>
                <w:rFonts w:hint="eastAsia" w:ascii="仿宋_GB2312" w:hAnsi="仿宋_GB2312" w:eastAsia="仿宋_GB2312" w:cs="仿宋_GB2312"/>
                <w:sz w:val="28"/>
                <w:szCs w:val="28"/>
              </w:rPr>
              <w:t>打造六川河假日休闲游、硖石谷养生娱乐游、胜利塬农家体验游和金陵河</w:t>
            </w:r>
            <w:r>
              <w:rPr>
                <w:rFonts w:hint="eastAsia" w:ascii="仿宋_GB2312" w:hAnsi="仿宋_GB2312" w:eastAsia="仿宋_GB2312" w:cs="仿宋_GB2312"/>
                <w:sz w:val="28"/>
                <w:szCs w:val="28"/>
                <w:lang w:eastAsia="zh-CN"/>
              </w:rPr>
              <w:t>《诗经》</w:t>
            </w:r>
            <w:r>
              <w:rPr>
                <w:rFonts w:hint="eastAsia" w:ascii="仿宋_GB2312" w:hAnsi="仿宋_GB2312" w:eastAsia="仿宋_GB2312" w:cs="仿宋_GB2312"/>
                <w:sz w:val="28"/>
                <w:szCs w:val="28"/>
              </w:rPr>
              <w:t>风情游四大休闲农业游精品线路，加快建设胜利塬果蔬采摘园、陵原休闲农业观光园、陈仓镇进新、工农、团结三村农业观光示范园项目、硖石镇休闲农业康养中心等项目。</w:t>
            </w:r>
          </w:p>
          <w:p w14:paraId="04A77E6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4.农产品加工业。</w:t>
            </w:r>
            <w:r>
              <w:rPr>
                <w:rFonts w:hint="eastAsia" w:ascii="仿宋_GB2312" w:hAnsi="仿宋_GB2312" w:eastAsia="仿宋_GB2312" w:cs="仿宋_GB2312"/>
                <w:sz w:val="28"/>
                <w:szCs w:val="28"/>
              </w:rPr>
              <w:t>加快食品产业园、智慧果蔬产业园和硖石镇药材产业示范园建设，招引葡萄、樱桃、中药材等产品加工企业，建设以农产品加工企业为龙头的健康食品产业链。</w:t>
            </w:r>
          </w:p>
          <w:p w14:paraId="07015590">
            <w:pPr>
              <w:adjustRightInd w:val="0"/>
              <w:snapToGrid w:val="0"/>
              <w:spacing w:line="400" w:lineRule="exact"/>
              <w:ind w:firstLine="562" w:firstLineChars="200"/>
              <w:jc w:val="both"/>
              <w:rPr>
                <w:rFonts w:ascii="Times New Roman" w:hAnsi="Times New Roman" w:eastAsia="仿宋_GB2312"/>
                <w:b/>
                <w:sz w:val="28"/>
                <w:szCs w:val="28"/>
              </w:rPr>
            </w:pPr>
            <w:r>
              <w:rPr>
                <w:rFonts w:hint="eastAsia" w:ascii="仿宋_GB2312" w:hAnsi="仿宋_GB2312" w:eastAsia="仿宋_GB2312" w:cs="仿宋_GB2312"/>
                <w:b/>
                <w:sz w:val="28"/>
                <w:szCs w:val="28"/>
              </w:rPr>
              <w:t>5.创意农业。</w:t>
            </w:r>
            <w:r>
              <w:rPr>
                <w:rFonts w:hint="eastAsia" w:ascii="仿宋_GB2312" w:hAnsi="仿宋_GB2312" w:eastAsia="仿宋_GB2312" w:cs="仿宋_GB2312"/>
                <w:sz w:val="28"/>
                <w:szCs w:val="28"/>
              </w:rPr>
              <w:t>积极发展农田艺术景观、阳台农艺等创意农业，建设百林创意观光园。探索农产品个性化定制服务、会展农业、农业众筹等新型业态，将传统农业发展为融生产、生活、生态为一体的现代农业。</w:t>
            </w:r>
          </w:p>
        </w:tc>
      </w:tr>
      <w:bookmarkEnd w:id="154"/>
    </w:tbl>
    <w:p w14:paraId="2414E2E1">
      <w:pPr>
        <w:pStyle w:val="5"/>
        <w:keepNext w:val="0"/>
        <w:keepLines w:val="0"/>
        <w:numPr>
          <w:ilvl w:val="0"/>
          <w:numId w:val="20"/>
        </w:numPr>
        <w:adjustRightInd w:val="0"/>
        <w:snapToGrid w:val="0"/>
        <w:spacing w:before="0" w:after="0" w:line="600" w:lineRule="exact"/>
        <w:ind w:firstLine="643" w:firstLineChars="200"/>
        <w:rPr>
          <w:rFonts w:eastAsia="楷体"/>
        </w:rPr>
      </w:pPr>
      <w:bookmarkStart w:id="167" w:name="_Toc41855006"/>
      <w:bookmarkStart w:id="168" w:name="_Toc42100147"/>
      <w:bookmarkStart w:id="169" w:name="_Toc42610389"/>
      <w:r>
        <w:rPr>
          <w:rFonts w:hint="eastAsia" w:eastAsia="楷体"/>
        </w:rPr>
        <w:t>优化现代农业生产体系</w:t>
      </w:r>
    </w:p>
    <w:p w14:paraId="36232BED">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加快建设绿色高效农业产业示范园。持续推进高标准农田建设，全面落实永久基本农田保护制度，加大土地综合整治。加强农技体系建设。</w:t>
      </w:r>
      <w:r>
        <w:rPr>
          <w:rFonts w:ascii="Times New Roman" w:hAnsi="Times New Roman" w:eastAsia="仿宋_GB2312"/>
          <w:sz w:val="32"/>
          <w:szCs w:val="32"/>
        </w:rPr>
        <w:t>建立农业科技成果转化、农业创新创业支撑服务平台，</w:t>
      </w:r>
      <w:r>
        <w:rPr>
          <w:rFonts w:hint="eastAsia" w:ascii="Times New Roman" w:hAnsi="Times New Roman" w:eastAsia="仿宋_GB2312"/>
          <w:sz w:val="32"/>
          <w:szCs w:val="32"/>
        </w:rPr>
        <w:t>推广果蔬反季节栽培、蔬菜新品种引进、葡萄等新品种研发试验等新技术，</w:t>
      </w:r>
      <w:r>
        <w:rPr>
          <w:rFonts w:ascii="Times New Roman" w:hAnsi="Times New Roman" w:eastAsia="仿宋_GB2312"/>
          <w:sz w:val="32"/>
          <w:szCs w:val="32"/>
        </w:rPr>
        <w:t>加快实现农业生产全程机械化</w:t>
      </w:r>
      <w:r>
        <w:rPr>
          <w:rFonts w:hint="eastAsia" w:ascii="Times New Roman" w:hAnsi="Times New Roman" w:eastAsia="仿宋_GB2312"/>
          <w:sz w:val="32"/>
          <w:szCs w:val="32"/>
        </w:rPr>
        <w:t>。支持和培育农产品商标注册和著名商标推荐认定。抓好区内农产品质量安全追溯平台建设，基本实现无公害基地追溯建设全覆盖。</w:t>
      </w:r>
    </w:p>
    <w:p w14:paraId="0BA1799C">
      <w:pPr>
        <w:pStyle w:val="5"/>
        <w:keepNext w:val="0"/>
        <w:keepLines w:val="0"/>
        <w:numPr>
          <w:ilvl w:val="0"/>
          <w:numId w:val="20"/>
        </w:numPr>
        <w:adjustRightInd w:val="0"/>
        <w:snapToGrid w:val="0"/>
        <w:spacing w:before="0" w:after="0" w:line="600" w:lineRule="exact"/>
        <w:ind w:firstLine="643" w:firstLineChars="200"/>
        <w:rPr>
          <w:rFonts w:eastAsia="楷体"/>
        </w:rPr>
      </w:pPr>
      <w:r>
        <w:rPr>
          <w:rFonts w:hint="eastAsia" w:eastAsia="楷体"/>
        </w:rPr>
        <w:t>完善现代农业经营体系</w:t>
      </w:r>
    </w:p>
    <w:p w14:paraId="703B083F">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扶持家庭农场、农民专业合作社、龙头企业、专业大户等各类新型农业主体，培育职业农民，推广“企业</w:t>
      </w:r>
      <w:r>
        <w:rPr>
          <w:rFonts w:ascii="Times New Roman" w:hAnsi="Times New Roman" w:eastAsia="仿宋_GB2312"/>
          <w:sz w:val="32"/>
          <w:szCs w:val="32"/>
        </w:rPr>
        <w:t>+</w:t>
      </w:r>
      <w:r>
        <w:rPr>
          <w:rFonts w:hint="eastAsia" w:ascii="Times New Roman" w:hAnsi="Times New Roman" w:eastAsia="仿宋_GB2312"/>
          <w:sz w:val="32"/>
          <w:szCs w:val="32"/>
        </w:rPr>
        <w:t>基地+农户”“企业+合作社+农户”“农超对接”，支持开展代种代管、统一管理、统一销售等专业化经营模式。提高农业的集约化、专业化、组织化、社会化服务水平。完善农产品市场流通体系，在硖石和金河镇新建农产品集散中心，在蟠龙塬新建农产品物流配送中心。积极推动农村电子商务产业链建设，建立智慧农业云交易平台，</w:t>
      </w:r>
      <w:r>
        <w:rPr>
          <w:rFonts w:ascii="Times New Roman" w:hAnsi="Times New Roman" w:eastAsia="仿宋_GB2312"/>
          <w:sz w:val="32"/>
          <w:szCs w:val="32"/>
        </w:rPr>
        <w:t>打造城乡安全购物生态链。</w:t>
      </w:r>
    </w:p>
    <w:p w14:paraId="643F0179">
      <w:pPr>
        <w:pStyle w:val="49"/>
        <w:adjustRightInd w:val="0"/>
        <w:snapToGrid w:val="0"/>
        <w:spacing w:line="560" w:lineRule="exact"/>
        <w:ind w:firstLine="640"/>
        <w:jc w:val="both"/>
        <w:rPr>
          <w:rFonts w:ascii="Times New Roman" w:hAnsi="Times New Roman" w:eastAsia="仿宋_GB2312"/>
          <w:sz w:val="32"/>
          <w:szCs w:val="32"/>
        </w:rPr>
      </w:pPr>
    </w:p>
    <w:p w14:paraId="4B42FF13">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3D3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5D28FD6">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乡村振兴农业产业重大项目</w:t>
            </w:r>
          </w:p>
        </w:tc>
      </w:tr>
      <w:tr w14:paraId="0B1CB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617BB87">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1.蟠龙高新区青禾塬尚田园综合体项目。</w:t>
            </w:r>
            <w:r>
              <w:rPr>
                <w:rFonts w:hint="eastAsia" w:ascii="仿宋_GB2312" w:hAnsi="仿宋_GB2312" w:eastAsia="仿宋_GB2312" w:cs="仿宋_GB2312"/>
                <w:sz w:val="28"/>
                <w:szCs w:val="28"/>
              </w:rPr>
              <w:t>建设高标准农田、农耕观光体验生态地，投资约4亿元。</w:t>
            </w:r>
          </w:p>
          <w:p w14:paraId="366BEA1F">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2.百林创意观光园项目。</w:t>
            </w:r>
            <w:r>
              <w:rPr>
                <w:rFonts w:hint="eastAsia" w:ascii="仿宋_GB2312" w:hAnsi="仿宋_GB2312" w:eastAsia="仿宋_GB2312" w:cs="仿宋_GB2312"/>
                <w:sz w:val="28"/>
                <w:szCs w:val="28"/>
              </w:rPr>
              <w:t>建设无刺花椒园、趣味果蔬园、石榴园、啤酒花园、窑洞避暑民宿等及配套设施，投资约0.5亿元。</w:t>
            </w:r>
          </w:p>
          <w:p w14:paraId="5B9C3333">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3.玉池产业融合示范园项目。</w:t>
            </w:r>
            <w:r>
              <w:rPr>
                <w:rFonts w:hint="eastAsia" w:ascii="仿宋_GB2312" w:hAnsi="仿宋_GB2312" w:eastAsia="仿宋_GB2312" w:cs="仿宋_GB2312"/>
                <w:sz w:val="28"/>
                <w:szCs w:val="28"/>
              </w:rPr>
              <w:t>建设玉池田园综合体、特色种养园、果蔬采摘园、观光体验园、精品民宿及配套设施等，投资约0.</w:t>
            </w:r>
            <w:r>
              <w:rPr>
                <w:rFonts w:ascii="仿宋_GB2312" w:hAnsi="仿宋_GB2312" w:eastAsia="仿宋_GB2312" w:cs="仿宋_GB2312"/>
                <w:sz w:val="28"/>
                <w:szCs w:val="28"/>
              </w:rPr>
              <w:t>7</w:t>
            </w:r>
            <w:r>
              <w:rPr>
                <w:rFonts w:hint="eastAsia" w:ascii="仿宋_GB2312" w:hAnsi="仿宋_GB2312" w:eastAsia="仿宋_GB2312" w:cs="仿宋_GB2312"/>
                <w:sz w:val="28"/>
                <w:szCs w:val="28"/>
              </w:rPr>
              <w:t>亿元</w:t>
            </w:r>
            <w:r>
              <w:rPr>
                <w:rFonts w:hint="eastAsia" w:ascii="仿宋_GB2312" w:hAnsi="仿宋_GB2312" w:eastAsia="仿宋_GB2312" w:cs="仿宋_GB2312"/>
                <w:spacing w:val="-4"/>
                <w:sz w:val="28"/>
                <w:szCs w:val="28"/>
              </w:rPr>
              <w:t>。</w:t>
            </w:r>
          </w:p>
          <w:p w14:paraId="6A55E7A4">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4.龙川现代农业产业园项目。</w:t>
            </w:r>
            <w:r>
              <w:rPr>
                <w:rFonts w:hint="eastAsia" w:ascii="仿宋_GB2312" w:hAnsi="仿宋_GB2312" w:eastAsia="仿宋_GB2312" w:cs="仿宋_GB2312"/>
                <w:sz w:val="28"/>
                <w:szCs w:val="28"/>
              </w:rPr>
              <w:t>以蟠龙塬北六村为主，建成休闲、采摘、名优农产品加工基地，投资约2亿元。</w:t>
            </w:r>
          </w:p>
          <w:p w14:paraId="0345FAE0">
            <w:pPr>
              <w:adjustRightInd w:val="0"/>
              <w:snapToGrid w:val="0"/>
              <w:spacing w:line="400" w:lineRule="exact"/>
              <w:ind w:firstLine="562" w:firstLineChars="200"/>
              <w:rPr>
                <w:rFonts w:ascii="仿宋_GB2312" w:hAnsi="仿宋_GB2312" w:eastAsia="仿宋_GB2312" w:cs="仿宋_GB2312"/>
                <w:spacing w:val="-6"/>
                <w:sz w:val="28"/>
                <w:szCs w:val="28"/>
              </w:rPr>
            </w:pPr>
            <w:r>
              <w:rPr>
                <w:rFonts w:hint="eastAsia" w:ascii="仿宋_GB2312" w:hAnsi="仿宋_GB2312" w:eastAsia="仿宋_GB2312" w:cs="仿宋_GB2312"/>
                <w:b/>
                <w:sz w:val="28"/>
                <w:szCs w:val="28"/>
              </w:rPr>
              <w:t>5.硖石镇药材产业示范园建设项目。</w:t>
            </w:r>
            <w:r>
              <w:rPr>
                <w:rFonts w:hint="eastAsia" w:ascii="仿宋_GB2312" w:hAnsi="仿宋_GB2312" w:eastAsia="仿宋_GB2312" w:cs="仿宋_GB2312"/>
                <w:sz w:val="28"/>
                <w:szCs w:val="28"/>
              </w:rPr>
              <w:t>发展中药材2万亩，建设初加工车间、储藏库、药材质检中心及交易中心、培训中心等</w:t>
            </w:r>
            <w:r>
              <w:rPr>
                <w:rFonts w:hint="eastAsia" w:ascii="仿宋_GB2312" w:hAnsi="仿宋_GB2312" w:eastAsia="仿宋_GB2312" w:cs="仿宋_GB2312"/>
                <w:spacing w:val="-6"/>
                <w:sz w:val="28"/>
                <w:szCs w:val="28"/>
              </w:rPr>
              <w:t>，投资约1.2亿元。</w:t>
            </w:r>
          </w:p>
          <w:p w14:paraId="407BD70F">
            <w:pPr>
              <w:adjustRightInd w:val="0"/>
              <w:snapToGrid w:val="0"/>
              <w:spacing w:line="400" w:lineRule="exact"/>
              <w:ind w:firstLine="562" w:firstLineChars="200"/>
              <w:rPr>
                <w:rFonts w:ascii="Times New Roman" w:hAnsi="Times New Roman"/>
              </w:rPr>
            </w:pPr>
            <w:r>
              <w:rPr>
                <w:rFonts w:hint="eastAsia" w:ascii="仿宋_GB2312" w:hAnsi="仿宋_GB2312" w:eastAsia="仿宋_GB2312" w:cs="仿宋_GB2312"/>
                <w:b/>
                <w:bCs/>
                <w:sz w:val="28"/>
                <w:szCs w:val="28"/>
              </w:rPr>
              <w:t>6.金台区高标准农田建设项目。</w:t>
            </w:r>
            <w:r>
              <w:rPr>
                <w:rFonts w:hint="eastAsia" w:ascii="仿宋_GB2312" w:hAnsi="仿宋_GB2312" w:eastAsia="仿宋_GB2312" w:cs="仿宋_GB2312"/>
                <w:sz w:val="28"/>
                <w:szCs w:val="28"/>
              </w:rPr>
              <w:t>建设高标准农田约4.6万亩，整修田间道路，新建蓄水池及灌溉配套设施等，投资约1亿元。</w:t>
            </w:r>
          </w:p>
        </w:tc>
      </w:tr>
    </w:tbl>
    <w:p w14:paraId="6E3D1DF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0" w:name="_Toc50988072"/>
      <w:bookmarkStart w:id="171" w:name="_Toc50710108"/>
      <w:bookmarkStart w:id="172" w:name="_Toc50988324"/>
      <w:bookmarkStart w:id="173" w:name="_Toc66442983"/>
      <w:bookmarkStart w:id="174" w:name="_Toc53863303"/>
      <w:r>
        <w:rPr>
          <w:rFonts w:hint="eastAsia" w:ascii="Times New Roman" w:hAnsi="Times New Roman" w:cs="宋体"/>
          <w:bCs w:val="0"/>
          <w:sz w:val="32"/>
          <w:szCs w:val="24"/>
        </w:rPr>
        <w:t>第三节 建设美丽宜居新村镇</w:t>
      </w:r>
      <w:bookmarkEnd w:id="170"/>
      <w:bookmarkEnd w:id="171"/>
      <w:bookmarkEnd w:id="172"/>
      <w:bookmarkEnd w:id="173"/>
      <w:bookmarkEnd w:id="174"/>
    </w:p>
    <w:p w14:paraId="0519AC83">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推进美丽城镇建设</w:t>
      </w:r>
    </w:p>
    <w:p w14:paraId="5696440F">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按照“一二三产”融合、城乡融合、产城融合发展思路，发挥小城镇连接城市与农村的重要枢纽作用，发展特色农业、乡村旅游，继续推进美丽城镇、美丽乡村建设。通过融合发展，高质量建设经济强镇。</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061"/>
      </w:tblGrid>
      <w:tr w14:paraId="223C26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216B6E93">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美丽城镇建设</w:t>
            </w:r>
          </w:p>
        </w:tc>
      </w:tr>
      <w:tr w14:paraId="01A5DE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5000" w:type="pct"/>
          </w:tcPr>
          <w:p w14:paraId="50A4B55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1.金河镇。</w:t>
            </w:r>
            <w:r>
              <w:rPr>
                <w:rFonts w:hint="eastAsia" w:ascii="仿宋_GB2312" w:hAnsi="仿宋_GB2312" w:eastAsia="仿宋_GB2312" w:cs="仿宋_GB2312"/>
                <w:sz w:val="28"/>
                <w:szCs w:val="28"/>
              </w:rPr>
              <w:t>加快建设金河城郊休闲小城镇，充分发挥陵辉村油菜花节、永利村五彩花海、周家庄村玉池公社等优势发展近郊休闲观光旅游，开发建设大唐秦王陵、蒋家庙古城遗址等文化旅游项目。发挥洪水沟村反季节香椿种植基地特色农业优势，高质量建设美丽金河，努力打造关中经济强镇。</w:t>
            </w:r>
          </w:p>
          <w:p w14:paraId="7FB751B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2.硖石镇。</w:t>
            </w:r>
            <w:r>
              <w:rPr>
                <w:rFonts w:hint="eastAsia" w:ascii="仿宋_GB2312" w:hAnsi="仿宋_GB2312" w:eastAsia="仿宋_GB2312" w:cs="仿宋_GB2312"/>
                <w:sz w:val="28"/>
                <w:szCs w:val="28"/>
              </w:rPr>
              <w:t>围绕打造宝鸡城市后花园，依托六川河生态景区、现代农业休闲观光区、蜂泉山景观区打造全域旅游名镇，打造六川河、长坪路、红枫大道、斓翎溪谷、五彩山村暴家河等精品旅游景观线路，发展农耕体验，延长农业产业链，建设集乡村旅游、文化体验、休闲度假为一体的陕西首个乡村旅游度假区。</w:t>
            </w:r>
          </w:p>
          <w:p w14:paraId="754C9F40">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3.蟠龙镇。</w:t>
            </w:r>
            <w:r>
              <w:rPr>
                <w:rFonts w:hint="eastAsia" w:ascii="仿宋_GB2312" w:hAnsi="仿宋_GB2312" w:eastAsia="仿宋_GB2312" w:cs="仿宋_GB2312"/>
                <w:sz w:val="28"/>
                <w:szCs w:val="28"/>
              </w:rPr>
              <w:t>按照“融合新区、彰显特色、能人带头、集体增收”的思路，在新区发展中找准定位，立足各村实际，宜农则农、宜工则工、宜商则商，发展壮大村集体经济。统筹建设城市发展和乡村建设，扎实做好农业生产，持续优化生态环境。</w:t>
            </w:r>
          </w:p>
        </w:tc>
      </w:tr>
    </w:tbl>
    <w:p w14:paraId="538E27F7">
      <w:pPr>
        <w:pStyle w:val="5"/>
        <w:keepNext w:val="0"/>
        <w:keepLines w:val="0"/>
        <w:numPr>
          <w:ilvl w:val="0"/>
          <w:numId w:val="21"/>
        </w:numPr>
        <w:adjustRightInd w:val="0"/>
        <w:snapToGrid w:val="0"/>
        <w:spacing w:before="0" w:after="0" w:line="600" w:lineRule="exact"/>
        <w:ind w:firstLine="643" w:firstLineChars="200"/>
        <w:jc w:val="both"/>
        <w:rPr>
          <w:rFonts w:eastAsia="楷体"/>
        </w:rPr>
      </w:pPr>
      <w:r>
        <w:rPr>
          <w:rFonts w:hint="eastAsia" w:eastAsia="楷体"/>
        </w:rPr>
        <w:t>建设城郊新型社区</w:t>
      </w:r>
    </w:p>
    <w:p w14:paraId="417F8A7D">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按照全域城市化、城市社区建设管理理念，在保障农民生产生活需求的基础上，将农业耕作与教育、观光旅游等有机结合，加快城市资金、产业、科技、信息等资源向农村延伸，公共服务向农村覆盖，通过改善基础设施和公共服务，将蟠龙塬、胜利塬、马家塬非城市建成区内的村庄建成城郊新型社区，对现有社区进行提升改造，标准化建设示范社区。</w:t>
      </w:r>
    </w:p>
    <w:p w14:paraId="0273B24A">
      <w:pPr>
        <w:pStyle w:val="5"/>
        <w:keepNext w:val="0"/>
        <w:keepLines w:val="0"/>
        <w:numPr>
          <w:ilvl w:val="0"/>
          <w:numId w:val="21"/>
        </w:numPr>
        <w:adjustRightInd w:val="0"/>
        <w:snapToGrid w:val="0"/>
        <w:spacing w:before="0" w:after="0" w:line="600" w:lineRule="exact"/>
        <w:ind w:firstLine="643" w:firstLineChars="200"/>
        <w:jc w:val="both"/>
        <w:rPr>
          <w:rFonts w:eastAsia="楷体"/>
        </w:rPr>
      </w:pPr>
      <w:bookmarkStart w:id="175" w:name="_Toc287376"/>
      <w:r>
        <w:rPr>
          <w:rFonts w:hint="eastAsia" w:eastAsia="楷体"/>
        </w:rPr>
        <w:t>提升农村人居环境</w:t>
      </w:r>
      <w:bookmarkEnd w:id="175"/>
    </w:p>
    <w:p w14:paraId="6A4D5F71">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巩固现有整治成果，以农村生活垃圾和污水治理、厕所革命、村容村貌提升为主攻方向，推广农村生活垃圾“户分类、村收集、镇转运、区处理”模式，健全再生资源回收利用网络，建设兼具垃圾分类与再生资源回收功能的交投点和中转站，完善垃圾处理设施。引导农村新建住房配建无害化卫生厕所，行政村配建公共厕所，建立建、管、用并重的长效管理机制。推进城镇污水处理管网向周边村庄延伸，中心村建立集中污水处理设施，居住分散的村庄，推广氧化塘、生态湿地等微动力和无动力污水处理方式。持续改善村庄公共环境和庭院环境，改善农民居住条件，深入实施乡村绿化美化行动，努力建设一批生态宜居美丽乡村。</w:t>
      </w:r>
    </w:p>
    <w:p w14:paraId="1DE62A3F">
      <w:pPr>
        <w:pStyle w:val="49"/>
        <w:adjustRightInd w:val="0"/>
        <w:snapToGrid w:val="0"/>
        <w:spacing w:line="560" w:lineRule="exact"/>
        <w:ind w:firstLine="640"/>
        <w:jc w:val="both"/>
        <w:rPr>
          <w:rFonts w:ascii="Times New Roman" w:hAnsi="Times New Roman" w:eastAsia="仿宋_GB2312"/>
          <w:sz w:val="32"/>
          <w:szCs w:val="32"/>
        </w:rPr>
      </w:pPr>
    </w:p>
    <w:p w14:paraId="5A961F5C">
      <w:pPr>
        <w:pStyle w:val="49"/>
        <w:adjustRightInd w:val="0"/>
        <w:snapToGrid w:val="0"/>
        <w:spacing w:line="560" w:lineRule="exact"/>
        <w:ind w:firstLine="640"/>
        <w:jc w:val="both"/>
        <w:rPr>
          <w:rFonts w:ascii="Times New Roman" w:hAnsi="Times New Roman" w:eastAsia="仿宋_GB2312"/>
          <w:sz w:val="32"/>
          <w:szCs w:val="32"/>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44D1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3C80BCF">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美丽乡村建设重大项目</w:t>
            </w:r>
          </w:p>
        </w:tc>
      </w:tr>
      <w:tr w14:paraId="08A20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572D2EEA">
            <w:pPr>
              <w:pStyle w:val="49"/>
              <w:adjustRightInd w:val="0"/>
              <w:snapToGrid w:val="0"/>
              <w:spacing w:line="400" w:lineRule="exact"/>
              <w:ind w:firstLine="562"/>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1.乡村振兴示范创建项目。</w:t>
            </w:r>
            <w:r>
              <w:rPr>
                <w:rFonts w:hint="eastAsia" w:ascii="仿宋_GB2312" w:hAnsi="仿宋_GB2312" w:eastAsia="仿宋_GB2312" w:cs="仿宋_GB2312"/>
                <w:sz w:val="28"/>
                <w:szCs w:val="28"/>
              </w:rPr>
              <w:t>创建六类示范村，投资约2亿元。</w:t>
            </w:r>
          </w:p>
          <w:p w14:paraId="41354E3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2.农村人居环境综合治理项目。</w:t>
            </w:r>
            <w:r>
              <w:rPr>
                <w:rFonts w:hint="eastAsia" w:ascii="仿宋_GB2312" w:hAnsi="仿宋_GB2312" w:eastAsia="仿宋_GB2312" w:cs="仿宋_GB2312"/>
                <w:sz w:val="28"/>
                <w:szCs w:val="28"/>
              </w:rPr>
              <w:t>新建</w:t>
            </w:r>
            <w:r>
              <w:rPr>
                <w:rFonts w:hint="eastAsia" w:ascii="仿宋_GB2312" w:hAnsi="仿宋_GB2312" w:eastAsia="仿宋_GB2312" w:cs="仿宋_GB2312"/>
                <w:sz w:val="28"/>
                <w:szCs w:val="28"/>
                <w:lang w:eastAsia="zh-CN"/>
              </w:rPr>
              <w:t>人居环境整治</w:t>
            </w:r>
            <w:r>
              <w:rPr>
                <w:rFonts w:hint="eastAsia" w:ascii="仿宋_GB2312" w:hAnsi="仿宋_GB2312" w:eastAsia="仿宋_GB2312" w:cs="仿宋_GB2312"/>
                <w:sz w:val="28"/>
                <w:szCs w:val="28"/>
              </w:rPr>
              <w:t>工程，修建排水渠、村民文化活动广场、公厕、人饮、绿化、照明、河道清淤及生态护坡工程、生活垃圾及生活污水收集处理转运站等，投资约2亿元。</w:t>
            </w:r>
          </w:p>
          <w:p w14:paraId="42DC1A5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3.村庄公共基础设施建设工程项目。</w:t>
            </w:r>
            <w:r>
              <w:rPr>
                <w:rFonts w:hint="eastAsia" w:ascii="仿宋_GB2312" w:hAnsi="仿宋_GB2312" w:eastAsia="仿宋_GB2312" w:cs="仿宋_GB2312"/>
                <w:sz w:val="28"/>
                <w:szCs w:val="28"/>
              </w:rPr>
              <w:t>建设村级综合性公共服务中心，村级道路提升改造，投资约0.4亿元。</w:t>
            </w:r>
          </w:p>
          <w:p w14:paraId="32574F1A">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4.硖石地区集中供水项目。</w:t>
            </w:r>
            <w:r>
              <w:rPr>
                <w:rFonts w:hint="eastAsia" w:ascii="仿宋_GB2312" w:hAnsi="仿宋_GB2312" w:eastAsia="仿宋_GB2312" w:cs="仿宋_GB2312"/>
                <w:sz w:val="28"/>
                <w:szCs w:val="28"/>
              </w:rPr>
              <w:t>六川河沿线张家崖村、高家湾村、董家村、六川店村新建蓄水池，铺设管网等设施，投资约0.6亿元。</w:t>
            </w:r>
          </w:p>
        </w:tc>
      </w:tr>
    </w:tbl>
    <w:p w14:paraId="390FE63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76" w:name="_Toc66442984"/>
      <w:bookmarkStart w:id="177" w:name="_Toc50988325"/>
      <w:bookmarkStart w:id="178" w:name="_Toc287377"/>
      <w:bookmarkStart w:id="179" w:name="_Toc50988073"/>
      <w:bookmarkStart w:id="180" w:name="_Toc50710109"/>
      <w:bookmarkStart w:id="181" w:name="_Toc53863304"/>
      <w:r>
        <w:rPr>
          <w:rFonts w:hint="eastAsia" w:ascii="Times New Roman" w:hAnsi="Times New Roman" w:cs="宋体"/>
          <w:bCs w:val="0"/>
          <w:sz w:val="32"/>
          <w:szCs w:val="24"/>
        </w:rPr>
        <w:t>第四节 推进乡村改革与治理</w:t>
      </w:r>
      <w:bookmarkEnd w:id="176"/>
      <w:bookmarkEnd w:id="177"/>
      <w:bookmarkEnd w:id="178"/>
      <w:bookmarkEnd w:id="179"/>
      <w:bookmarkEnd w:id="180"/>
      <w:bookmarkEnd w:id="181"/>
    </w:p>
    <w:p w14:paraId="2203B234">
      <w:pPr>
        <w:pStyle w:val="5"/>
        <w:keepNext w:val="0"/>
        <w:keepLines w:val="0"/>
        <w:numPr>
          <w:ilvl w:val="0"/>
          <w:numId w:val="22"/>
        </w:numPr>
        <w:adjustRightInd w:val="0"/>
        <w:snapToGrid w:val="0"/>
        <w:spacing w:before="0" w:after="0" w:line="600" w:lineRule="exact"/>
        <w:ind w:firstLine="643" w:firstLineChars="200"/>
        <w:jc w:val="both"/>
        <w:rPr>
          <w:rFonts w:eastAsia="楷体"/>
        </w:rPr>
      </w:pPr>
      <w:bookmarkStart w:id="182" w:name="_Toc287378"/>
      <w:r>
        <w:rPr>
          <w:rFonts w:hint="eastAsia" w:eastAsia="仿宋_GB2312"/>
          <w:bCs w:val="0"/>
        </w:rPr>
        <w:t>深化乡村</w:t>
      </w:r>
      <w:r>
        <w:rPr>
          <w:rFonts w:hint="eastAsia" w:eastAsia="楷体"/>
        </w:rPr>
        <w:t>改革</w:t>
      </w:r>
      <w:bookmarkEnd w:id="182"/>
      <w:r>
        <w:rPr>
          <w:rFonts w:eastAsia="楷体"/>
        </w:rPr>
        <w:t xml:space="preserve"> </w:t>
      </w:r>
    </w:p>
    <w:p w14:paraId="1F8DCCF7">
      <w:pPr>
        <w:pStyle w:val="49"/>
        <w:widowControl w:val="0"/>
        <w:adjustRightInd w:val="0"/>
        <w:snapToGrid w:val="0"/>
        <w:spacing w:line="560" w:lineRule="exact"/>
        <w:ind w:firstLine="643"/>
        <w:jc w:val="both"/>
        <w:rPr>
          <w:rFonts w:ascii="Times New Roman" w:hAnsi="Times New Roman" w:eastAsia="仿宋_GB2312"/>
          <w:sz w:val="32"/>
          <w:szCs w:val="32"/>
        </w:rPr>
      </w:pPr>
      <w:bookmarkStart w:id="183" w:name="_Toc222216"/>
      <w:bookmarkStart w:id="184" w:name="_Toc222217"/>
      <w:r>
        <w:rPr>
          <w:rFonts w:hint="eastAsia" w:ascii="Times New Roman" w:hAnsi="Times New Roman" w:eastAsia="仿宋_GB2312"/>
          <w:b/>
          <w:sz w:val="32"/>
          <w:szCs w:val="32"/>
        </w:rPr>
        <w:t>加快城乡融合发展。</w:t>
      </w:r>
      <w:r>
        <w:rPr>
          <w:rFonts w:hint="eastAsia" w:ascii="Times New Roman" w:hAnsi="Times New Roman" w:eastAsia="仿宋_GB2312"/>
          <w:sz w:val="32"/>
          <w:szCs w:val="32"/>
        </w:rPr>
        <w:t>建立健全城乡融合发展体制机制和政策体系，推动乡村振兴与新型工业化、城镇化有机结合，形成融合发展的新型工农城乡关系。推动城乡区域联动融合发展，推进区域基础设施互联互通、公共服务共建共享和生态环境共保共治，实施城乡交通、供水、电网、</w:t>
      </w:r>
      <w:r>
        <w:rPr>
          <w:rFonts w:hint="eastAsia" w:ascii="Times New Roman" w:hAnsi="Times New Roman" w:eastAsia="仿宋_GB2312"/>
          <w:sz w:val="32"/>
          <w:szCs w:val="32"/>
          <w:lang w:eastAsia="zh-CN"/>
        </w:rPr>
        <w:t>通信一体化</w:t>
      </w:r>
      <w:r>
        <w:rPr>
          <w:rFonts w:hint="eastAsia" w:ascii="Times New Roman" w:hAnsi="Times New Roman" w:eastAsia="仿宋_GB2312"/>
          <w:sz w:val="32"/>
          <w:szCs w:val="32"/>
        </w:rPr>
        <w:t>工程，补齐农村垃圾污水处理、卫生厕所建设等短板，推进医疗、教育、文化、体育、养老、社区等公共服务均等化。构建城乡统一的户籍登记制度、土地管理制度、就业管理制度、社会保障制度和公共服务体系，促进城乡要素合理流动、平等交换和公共资源均衡配置。加快促进农业转移人口市民化，落实进城落户农民享有城镇低保救助、基本医疗保险、住房保障、子女教育、就业创业、基本养老等各方面政策，与城镇居民享有同等权利。</w:t>
      </w:r>
      <w:bookmarkEnd w:id="183"/>
      <w:bookmarkStart w:id="185" w:name="_Toc8912719"/>
    </w:p>
    <w:bookmarkEnd w:id="185"/>
    <w:p w14:paraId="261EC254">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推进乡村产权制度改革。</w:t>
      </w:r>
      <w:r>
        <w:rPr>
          <w:rFonts w:hint="eastAsia" w:ascii="Times New Roman" w:hAnsi="Times New Roman" w:eastAsia="仿宋_GB2312"/>
          <w:sz w:val="32"/>
          <w:szCs w:val="32"/>
        </w:rPr>
        <w:t>探索宅基地所有权、资格权、使用权“三权分置”。开展“三变”（资源变股权、资金变股金、农民变股民）改革工作试点，在所有脱贫村集体资产清查的基础上，实现“三变”改革全覆盖。探索“两权”（农村土地承包经营权和农村房屋财产权）抵押融资办法，破解农业融资难问题。健全农村金融服务体系，发展农业保险，激活农村发展新潜能。</w:t>
      </w:r>
      <w:r>
        <w:rPr>
          <w:rFonts w:hint="eastAsia" w:ascii="Times New Roman" w:hAnsi="Times New Roman" w:eastAsia="仿宋_GB2312"/>
          <w:bCs/>
          <w:sz w:val="32"/>
          <w:szCs w:val="32"/>
        </w:rPr>
        <w:t>培育壮大村级集体经济，</w:t>
      </w:r>
      <w:r>
        <w:rPr>
          <w:rFonts w:hint="eastAsia" w:ascii="Times New Roman" w:hAnsi="Times New Roman" w:eastAsia="仿宋_GB2312"/>
          <w:sz w:val="32"/>
          <w:szCs w:val="32"/>
        </w:rPr>
        <w:t>为乡村全面振兴奠定坚实基础。</w:t>
      </w:r>
      <w:bookmarkEnd w:id="184"/>
    </w:p>
    <w:p w14:paraId="733D0881">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6" w:name="_Toc287379"/>
      <w:r>
        <w:rPr>
          <w:rFonts w:hint="eastAsia" w:eastAsia="仿宋_GB2312"/>
          <w:bCs w:val="0"/>
        </w:rPr>
        <w:t>健全乡村治理体系</w:t>
      </w:r>
      <w:bookmarkEnd w:id="186"/>
    </w:p>
    <w:p w14:paraId="7772D6BE">
      <w:pPr>
        <w:pStyle w:val="49"/>
        <w:widowControl w:val="0"/>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sz w:val="32"/>
          <w:szCs w:val="32"/>
        </w:rPr>
        <w:t>建立以基层党组织为领导、村民自治组织和村务监督组织为基础、集体经济组织和农民合作组织为纽带、其他经济社会组织为补充的村级组织体系。健全村民自治机制，完善村民（代表）会议制度，推进民主选举、民主协商、民主决策、民主管理、民主监督实践，健全村级议事协商制度，形成民事民议、民事民办、民事民管的多层次基层协商格局。</w:t>
      </w:r>
    </w:p>
    <w:p w14:paraId="1F95FDD2">
      <w:pPr>
        <w:pStyle w:val="5"/>
        <w:keepNext w:val="0"/>
        <w:keepLines w:val="0"/>
        <w:numPr>
          <w:ilvl w:val="0"/>
          <w:numId w:val="22"/>
        </w:numPr>
        <w:adjustRightInd w:val="0"/>
        <w:snapToGrid w:val="0"/>
        <w:spacing w:before="0" w:after="0" w:line="600" w:lineRule="exact"/>
        <w:ind w:firstLine="643" w:firstLineChars="200"/>
        <w:jc w:val="both"/>
        <w:rPr>
          <w:rFonts w:eastAsia="仿宋_GB2312"/>
          <w:bCs w:val="0"/>
        </w:rPr>
      </w:pPr>
      <w:bookmarkStart w:id="187" w:name="_Toc287380"/>
      <w:r>
        <w:rPr>
          <w:rFonts w:hint="eastAsia" w:eastAsia="仿宋_GB2312"/>
          <w:bCs w:val="0"/>
        </w:rPr>
        <w:t>培育乡村文明新风尚</w:t>
      </w:r>
      <w:bookmarkEnd w:id="187"/>
    </w:p>
    <w:p w14:paraId="0C199999">
      <w:pPr>
        <w:pStyle w:val="49"/>
        <w:widowControl w:val="0"/>
        <w:adjustRightInd w:val="0"/>
        <w:snapToGrid w:val="0"/>
        <w:spacing w:line="560" w:lineRule="exact"/>
        <w:ind w:firstLine="640"/>
        <w:jc w:val="both"/>
        <w:rPr>
          <w:rFonts w:ascii="Times New Roman" w:hAnsi="Times New Roman" w:eastAsia="仿宋_GB2312"/>
          <w:sz w:val="32"/>
          <w:szCs w:val="32"/>
        </w:rPr>
      </w:pPr>
      <w:bookmarkStart w:id="188" w:name="_Toc222221"/>
      <w:r>
        <w:rPr>
          <w:rFonts w:hint="eastAsia" w:ascii="Times New Roman" w:hAnsi="Times New Roman" w:eastAsia="仿宋_GB2312"/>
          <w:sz w:val="32"/>
          <w:szCs w:val="32"/>
        </w:rPr>
        <w:t>加强农村思想道德建设，持续推进农村精神文明建设，提升农民精神风貌，倡导科学文明生活，不断提高乡村社会文明程度。弘扬创新传统乡土文化，建立并完善乡土文化保护机制和保护文化地标，传承各种传统技艺。加强农村公共文化建设，完善农村基本公共文化服务体系。深入开展移风易俗行动，制定完善村规民约，建立健全红白理事会，狠抓殡葬领域乱象治理，约束引导村民弘扬高尚、文明的优良乡风。</w:t>
      </w:r>
      <w:bookmarkEnd w:id="188"/>
    </w:p>
    <w:p w14:paraId="1E701F96">
      <w:pPr>
        <w:pStyle w:val="49"/>
        <w:adjustRightInd w:val="0"/>
        <w:snapToGrid w:val="0"/>
        <w:spacing w:line="560" w:lineRule="exact"/>
        <w:ind w:firstLine="643"/>
        <w:jc w:val="both"/>
        <w:rPr>
          <w:rFonts w:ascii="Times New Roman" w:hAnsi="Times New Roman" w:eastAsia="黑体"/>
          <w:b/>
          <w:sz w:val="32"/>
          <w:szCs w:val="32"/>
        </w:rPr>
        <w:sectPr>
          <w:pgSz w:w="11907" w:h="16840"/>
          <w:pgMar w:top="1440" w:right="1474" w:bottom="1440" w:left="1588" w:header="851" w:footer="992" w:gutter="0"/>
          <w:cols w:space="425" w:num="1"/>
          <w:docGrid w:linePitch="312" w:charSpace="0"/>
        </w:sectPr>
      </w:pPr>
      <w:bookmarkStart w:id="189" w:name="_Toc50710111"/>
      <w:bookmarkStart w:id="190" w:name="_Toc49276062"/>
    </w:p>
    <w:p w14:paraId="13F8FF66">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191" w:name="_Toc66442985"/>
      <w:bookmarkStart w:id="192" w:name="_Toc53863306"/>
      <w:bookmarkStart w:id="193" w:name="_Toc50988075"/>
      <w:bookmarkStart w:id="194" w:name="_Toc50988327"/>
      <w:r>
        <w:rPr>
          <w:rFonts w:hint="eastAsia" w:eastAsia="方正小标宋简体"/>
          <w:b w:val="0"/>
          <w:iCs/>
          <w:kern w:val="2"/>
          <w:sz w:val="36"/>
          <w:szCs w:val="36"/>
        </w:rPr>
        <w:t>完善区域基础设施</w:t>
      </w:r>
      <w:bookmarkEnd w:id="167"/>
      <w:bookmarkEnd w:id="168"/>
      <w:r>
        <w:rPr>
          <w:rFonts w:hint="eastAsia" w:eastAsia="方正小标宋简体"/>
          <w:b w:val="0"/>
          <w:iCs/>
          <w:kern w:val="2"/>
          <w:sz w:val="36"/>
          <w:szCs w:val="36"/>
        </w:rPr>
        <w:t>，构建互联互通新模式</w:t>
      </w:r>
      <w:bookmarkEnd w:id="169"/>
      <w:bookmarkEnd w:id="189"/>
      <w:bookmarkEnd w:id="190"/>
      <w:bookmarkEnd w:id="191"/>
      <w:bookmarkEnd w:id="192"/>
      <w:bookmarkEnd w:id="193"/>
      <w:bookmarkEnd w:id="194"/>
    </w:p>
    <w:p w14:paraId="1EDDFD3E">
      <w:pPr>
        <w:pStyle w:val="49"/>
        <w:adjustRightInd w:val="0"/>
        <w:snapToGrid w:val="0"/>
        <w:spacing w:line="560" w:lineRule="exact"/>
        <w:ind w:firstLine="640"/>
        <w:jc w:val="both"/>
        <w:rPr>
          <w:rFonts w:ascii="Times New Roman" w:hAnsi="Times New Roman" w:eastAsia="仿宋_GB2312"/>
          <w:sz w:val="32"/>
          <w:szCs w:val="32"/>
        </w:rPr>
      </w:pPr>
      <w:r>
        <w:rPr>
          <w:rFonts w:hint="eastAsia" w:ascii="Times New Roman" w:hAnsi="Times New Roman" w:eastAsia="仿宋_GB2312" w:cs="仿宋_GB2312"/>
          <w:sz w:val="32"/>
          <w:szCs w:val="32"/>
        </w:rPr>
        <w:t>以国际化城市功能需求为导向，适度先行，优化配置，争取中省基础设施补短板项目，高标准高质量建设交通、水利、能源、新基建等重大基础设施，加快构建集约高效、智能绿色、安全可靠的现代化基础设施体系。</w:t>
      </w:r>
      <w:r>
        <w:rPr>
          <w:rFonts w:hint="eastAsia" w:ascii="Times New Roman" w:hAnsi="Times New Roman" w:eastAsia="仿宋_GB2312"/>
          <w:sz w:val="32"/>
          <w:szCs w:val="32"/>
        </w:rPr>
        <w:t>到</w:t>
      </w:r>
      <w:r>
        <w:rPr>
          <w:rFonts w:ascii="Times New Roman" w:hAnsi="Times New Roman" w:eastAsia="仿宋_GB2312"/>
          <w:sz w:val="32"/>
          <w:szCs w:val="32"/>
        </w:rPr>
        <w:t>2025年，</w:t>
      </w:r>
      <w:r>
        <w:rPr>
          <w:rFonts w:hint="eastAsia" w:ascii="Times New Roman" w:hAnsi="Times New Roman" w:eastAsia="仿宋_GB2312"/>
          <w:sz w:val="32"/>
          <w:szCs w:val="32"/>
        </w:rPr>
        <w:t>基本形成“覆盖</w:t>
      </w:r>
      <w:r>
        <w:rPr>
          <w:rFonts w:ascii="Times New Roman" w:hAnsi="Times New Roman" w:eastAsia="仿宋_GB2312"/>
          <w:sz w:val="32"/>
          <w:szCs w:val="32"/>
        </w:rPr>
        <w:t>广泛、</w:t>
      </w:r>
      <w:r>
        <w:rPr>
          <w:rFonts w:hint="eastAsia" w:ascii="Times New Roman" w:hAnsi="Times New Roman" w:eastAsia="仿宋_GB2312"/>
          <w:sz w:val="32"/>
          <w:szCs w:val="32"/>
        </w:rPr>
        <w:t>公铁</w:t>
      </w:r>
      <w:r>
        <w:rPr>
          <w:rFonts w:ascii="Times New Roman" w:hAnsi="Times New Roman" w:eastAsia="仿宋_GB2312"/>
          <w:sz w:val="32"/>
          <w:szCs w:val="32"/>
        </w:rPr>
        <w:t>互补</w:t>
      </w:r>
      <w:r>
        <w:rPr>
          <w:rFonts w:hint="eastAsia" w:ascii="Times New Roman" w:hAnsi="Times New Roman" w:eastAsia="仿宋_GB2312"/>
          <w:sz w:val="32"/>
          <w:szCs w:val="32"/>
        </w:rPr>
        <w:t>”的综合</w:t>
      </w:r>
      <w:r>
        <w:rPr>
          <w:rFonts w:ascii="Times New Roman" w:hAnsi="Times New Roman" w:eastAsia="仿宋_GB2312"/>
          <w:sz w:val="32"/>
          <w:szCs w:val="32"/>
        </w:rPr>
        <w:t>立体交通网</w:t>
      </w:r>
      <w:r>
        <w:rPr>
          <w:rFonts w:hint="eastAsia" w:ascii="Times New Roman" w:hAnsi="Times New Roman" w:eastAsia="仿宋_GB2312"/>
          <w:sz w:val="32"/>
          <w:szCs w:val="32"/>
        </w:rPr>
        <w:t>格局</w:t>
      </w:r>
      <w:r>
        <w:rPr>
          <w:rFonts w:ascii="Times New Roman" w:hAnsi="Times New Roman" w:eastAsia="仿宋_GB2312"/>
          <w:sz w:val="32"/>
          <w:szCs w:val="32"/>
        </w:rPr>
        <w:t>。到2035年，</w:t>
      </w:r>
      <w:r>
        <w:rPr>
          <w:rFonts w:hint="eastAsia" w:ascii="Times New Roman" w:hAnsi="Times New Roman" w:eastAsia="仿宋_GB2312"/>
          <w:sz w:val="32"/>
          <w:szCs w:val="32"/>
        </w:rPr>
        <w:t>基础设施实现高质量发展</w:t>
      </w:r>
      <w:r>
        <w:rPr>
          <w:rFonts w:ascii="Times New Roman" w:hAnsi="Times New Roman" w:eastAsia="仿宋_GB2312"/>
          <w:sz w:val="32"/>
          <w:szCs w:val="32"/>
        </w:rPr>
        <w:t>。</w:t>
      </w:r>
    </w:p>
    <w:p w14:paraId="0E0A898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195" w:name="_Toc50988328"/>
      <w:bookmarkStart w:id="196" w:name="_Toc50710112"/>
      <w:bookmarkStart w:id="197" w:name="_Toc66442986"/>
      <w:bookmarkStart w:id="198" w:name="_Toc42610390"/>
      <w:bookmarkStart w:id="199" w:name="_Toc49276063"/>
      <w:bookmarkStart w:id="200" w:name="_Toc50988076"/>
      <w:bookmarkStart w:id="201" w:name="_Toc41855007"/>
      <w:bookmarkStart w:id="202" w:name="_Toc42100148"/>
      <w:bookmarkStart w:id="203" w:name="_Toc53863307"/>
      <w:r>
        <w:rPr>
          <w:rFonts w:hint="eastAsia" w:ascii="Times New Roman" w:hAnsi="Times New Roman" w:cs="宋体"/>
          <w:bCs w:val="0"/>
          <w:sz w:val="32"/>
          <w:szCs w:val="24"/>
        </w:rPr>
        <w:t>第一节 建设现代综合交通体系</w:t>
      </w:r>
      <w:bookmarkEnd w:id="195"/>
      <w:bookmarkEnd w:id="196"/>
      <w:bookmarkEnd w:id="197"/>
      <w:bookmarkEnd w:id="198"/>
      <w:bookmarkEnd w:id="199"/>
      <w:bookmarkEnd w:id="200"/>
      <w:bookmarkEnd w:id="201"/>
      <w:bookmarkEnd w:id="202"/>
      <w:bookmarkEnd w:id="203"/>
    </w:p>
    <w:p w14:paraId="0FD42AE3">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推进区域交通建设</w:t>
      </w:r>
    </w:p>
    <w:p w14:paraId="24F784DE">
      <w:pPr>
        <w:pStyle w:val="49"/>
        <w:adjustRightInd w:val="0"/>
        <w:snapToGrid w:val="0"/>
        <w:spacing w:line="560" w:lineRule="exact"/>
        <w:ind w:firstLine="640"/>
        <w:jc w:val="both"/>
        <w:rPr>
          <w:rFonts w:ascii="Times New Roman" w:hAnsi="Times New Roman" w:eastAsia="仿宋_GB2312" w:cs="仿宋_GB2312"/>
          <w:sz w:val="32"/>
          <w:szCs w:val="32"/>
        </w:rPr>
      </w:pPr>
      <w:bookmarkStart w:id="204" w:name="_Toc41854966"/>
      <w:bookmarkStart w:id="205" w:name="_Toc42100105"/>
      <w:bookmarkStart w:id="206" w:name="_Toc42610402"/>
      <w:r>
        <w:rPr>
          <w:rFonts w:hint="eastAsia" w:ascii="Times New Roman" w:hAnsi="Times New Roman" w:eastAsia="仿宋_GB2312" w:cs="仿宋_GB2312"/>
          <w:sz w:val="32"/>
          <w:szCs w:val="32"/>
        </w:rPr>
        <w:t>构建高效的综合区域交通体系，大力实施陵塬通用机场项目；配合推进北绕城高速公路建设、西法城际轨道交通宝鸡延伸段和陇海铁路金台段外迁，加快原陇海线城市轻轨改造，打造宝鸡卧龙寺综合交通枢纽站，畅通枢纽站与宝鸡高铁站联系；新建蟠龙高新区至高铁站云轨交通，提升内部交通通行能力；加快连霍高速宝鸡城区过境段市政化改造工程建设；完成金台区范围内</w:t>
      </w:r>
      <w:r>
        <w:rPr>
          <w:rFonts w:ascii="Times New Roman" w:hAnsi="Times New Roman" w:eastAsia="仿宋_GB2312" w:cs="仿宋_GB2312"/>
          <w:sz w:val="32"/>
          <w:szCs w:val="32"/>
        </w:rPr>
        <w:t>S222</w:t>
      </w:r>
      <w:r>
        <w:rPr>
          <w:rFonts w:hint="eastAsia" w:ascii="Times New Roman" w:hAnsi="Times New Roman" w:eastAsia="仿宋_GB2312" w:cs="仿宋_GB2312"/>
          <w:sz w:val="32"/>
          <w:szCs w:val="32"/>
        </w:rPr>
        <w:t>过境线建设。</w:t>
      </w:r>
    </w:p>
    <w:p w14:paraId="6AE517B4">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622290" cy="2230755"/>
            <wp:effectExtent l="0" t="0" r="0" b="0"/>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noChangeArrowheads="1"/>
                    </pic:cNvPicPr>
                  </pic:nvPicPr>
                  <pic:blipFill>
                    <a:blip r:embed="rId12">
                      <a:extLst>
                        <a:ext uri="{28A0092B-C50C-407E-A947-70E740481C1C}">
                          <a14:useLocalDpi xmlns:a14="http://schemas.microsoft.com/office/drawing/2010/main" val="0"/>
                        </a:ext>
                      </a:extLst>
                    </a:blip>
                    <a:srcRect l="16053" t="34183" r="829" b="8766"/>
                    <a:stretch>
                      <a:fillRect/>
                    </a:stretch>
                  </pic:blipFill>
                  <pic:spPr>
                    <a:xfrm>
                      <a:off x="0" y="0"/>
                      <a:ext cx="5634673" cy="2236206"/>
                    </a:xfrm>
                    <a:prstGeom prst="rect">
                      <a:avLst/>
                    </a:prstGeom>
                    <a:noFill/>
                    <a:ln>
                      <a:noFill/>
                    </a:ln>
                  </pic:spPr>
                </pic:pic>
              </a:graphicData>
            </a:graphic>
          </wp:inline>
        </w:drawing>
      </w:r>
    </w:p>
    <w:p w14:paraId="78698CEB">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图10-1 金台区“十四五”重大交通设施项目图</w:t>
      </w:r>
    </w:p>
    <w:p w14:paraId="60A360FD">
      <w:pPr>
        <w:pStyle w:val="5"/>
        <w:keepNext w:val="0"/>
        <w:keepLines w:val="0"/>
        <w:numPr>
          <w:ilvl w:val="0"/>
          <w:numId w:val="23"/>
        </w:numPr>
        <w:adjustRightInd w:val="0"/>
        <w:snapToGrid w:val="0"/>
        <w:spacing w:before="0" w:after="0" w:line="600" w:lineRule="exact"/>
        <w:ind w:firstLine="643" w:firstLineChars="200"/>
        <w:rPr>
          <w:rFonts w:eastAsia="楷体"/>
        </w:rPr>
      </w:pPr>
      <w:bookmarkStart w:id="207" w:name="_Toc42100150"/>
      <w:bookmarkStart w:id="208" w:name="_Toc42610392"/>
      <w:bookmarkStart w:id="209" w:name="_Toc41855009"/>
      <w:r>
        <w:rPr>
          <w:rFonts w:hint="eastAsia" w:eastAsia="楷体"/>
        </w:rPr>
        <w:t>完善城市道路网络</w:t>
      </w:r>
      <w:bookmarkEnd w:id="207"/>
      <w:bookmarkEnd w:id="208"/>
      <w:bookmarkEnd w:id="209"/>
    </w:p>
    <w:p w14:paraId="5CF93389">
      <w:pPr>
        <w:pStyle w:val="49"/>
        <w:adjustRightInd w:val="0"/>
        <w:snapToGrid w:val="0"/>
        <w:spacing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完善城市骨干路网。</w:t>
      </w:r>
      <w:r>
        <w:rPr>
          <w:rFonts w:hint="eastAsia" w:ascii="Times New Roman" w:hAnsi="Times New Roman" w:eastAsia="仿宋_GB2312" w:cs="仿宋_GB2312"/>
          <w:sz w:val="32"/>
          <w:szCs w:val="32"/>
        </w:rPr>
        <w:t>强化塬上塬下的交通联系，打通</w:t>
      </w:r>
      <w:r>
        <w:rPr>
          <w:rFonts w:ascii="Times New Roman" w:hAnsi="Times New Roman" w:eastAsia="仿宋_GB2312" w:cs="仿宋_GB2312"/>
          <w:sz w:val="32"/>
          <w:szCs w:val="32"/>
        </w:rPr>
        <w:t>6</w:t>
      </w:r>
      <w:r>
        <w:rPr>
          <w:rFonts w:hint="eastAsia" w:ascii="Times New Roman" w:hAnsi="Times New Roman" w:eastAsia="仿宋_GB2312" w:cs="仿宋_GB2312"/>
          <w:sz w:val="32"/>
          <w:szCs w:val="32"/>
        </w:rPr>
        <w:t>条上塬通道，推进新区有轨电车建设。加快建设蟠龙高新区龙川路、龙凤大道、旭东路等</w:t>
      </w:r>
      <w:r>
        <w:rPr>
          <w:rFonts w:ascii="Times New Roman" w:hAnsi="Times New Roman" w:eastAsia="仿宋_GB2312" w:cs="仿宋_GB2312"/>
          <w:sz w:val="32"/>
          <w:szCs w:val="32"/>
        </w:rPr>
        <w:t>35</w:t>
      </w:r>
      <w:r>
        <w:rPr>
          <w:rFonts w:hint="eastAsia" w:ascii="Times New Roman" w:hAnsi="Times New Roman" w:eastAsia="仿宋_GB2312" w:cs="仿宋_GB2312"/>
          <w:sz w:val="32"/>
          <w:szCs w:val="32"/>
        </w:rPr>
        <w:t>条主次干道，支持蟠龙文化公园建设轨道缆车，实施宝蟠路、底县路等道路提升改造。提档升级改造老城区重点主次干路，加快老城区道路建设步伐，行政大道东拓至退水渠，建设蟠龙路、科技路与连霍高速市政化改造后的互通式立交，推进钛谷大桥、团结大桥建设项目，提高城市内部路网的通达性，形成“三横九纵”的老城区主干路网结构。</w:t>
      </w:r>
    </w:p>
    <w:p w14:paraId="791EC1AE">
      <w:pPr>
        <w:pStyle w:val="49"/>
        <w:adjustRightInd w:val="0"/>
        <w:snapToGrid w:val="0"/>
        <w:spacing w:after="120" w:afterLines="50" w:line="560" w:lineRule="exact"/>
        <w:ind w:firstLine="643"/>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完善交通设施建设。</w:t>
      </w:r>
      <w:r>
        <w:rPr>
          <w:rFonts w:hint="eastAsia" w:ascii="Times New Roman" w:hAnsi="Times New Roman" w:eastAsia="仿宋_GB2312" w:cs="仿宋_GB2312"/>
          <w:sz w:val="32"/>
          <w:szCs w:val="32"/>
        </w:rPr>
        <w:t>积极发展大容量地面公共交通，推进汽车北站迁建及蟠龙高新区客运站项目建设，加快调度中心、停车场、保养场、首末站以及停靠站的建设；推进换乘枢纽及充电桩、公共停车场等配套服务设施建设，将其纳入城市旧城改造和新城</w:t>
      </w:r>
      <w:r>
        <w:rPr>
          <w:rFonts w:hint="eastAsia" w:ascii="Times New Roman" w:hAnsi="Times New Roman" w:eastAsia="仿宋_GB2312" w:cs="仿宋_GB2312"/>
          <w:spacing w:val="-4"/>
          <w:sz w:val="32"/>
          <w:szCs w:val="32"/>
        </w:rPr>
        <w:t>建设规划同步实施。增加行政中心、西府天地、长乐塬工业遗址、新福园、大庆路、宝平路区域停车场数量，不断完善城市交通设施。</w:t>
      </w:r>
    </w:p>
    <w:p w14:paraId="2385130A">
      <w:pPr>
        <w:adjustRightInd w:val="0"/>
        <w:snapToGrid w:val="0"/>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490210" cy="2812415"/>
            <wp:effectExtent l="0" t="0" r="15240" b="698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noChangeArrowheads="1"/>
                    </pic:cNvPicPr>
                  </pic:nvPicPr>
                  <pic:blipFill>
                    <a:blip r:embed="rId13">
                      <a:extLst>
                        <a:ext uri="{28A0092B-C50C-407E-A947-70E740481C1C}">
                          <a14:useLocalDpi xmlns:a14="http://schemas.microsoft.com/office/drawing/2010/main" val="0"/>
                        </a:ext>
                      </a:extLst>
                    </a:blip>
                    <a:srcRect l="21421" t="28504" r="207" b="540"/>
                    <a:stretch>
                      <a:fillRect/>
                    </a:stretch>
                  </pic:blipFill>
                  <pic:spPr>
                    <a:xfrm>
                      <a:off x="0" y="0"/>
                      <a:ext cx="5517780" cy="2812415"/>
                    </a:xfrm>
                    <a:prstGeom prst="rect">
                      <a:avLst/>
                    </a:prstGeom>
                    <a:noFill/>
                    <a:ln>
                      <a:noFill/>
                    </a:ln>
                  </pic:spPr>
                </pic:pic>
              </a:graphicData>
            </a:graphic>
          </wp:inline>
        </w:drawing>
      </w:r>
    </w:p>
    <w:p w14:paraId="6E74467F">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图10-2 金台区“十四五”主要道路示意图</w:t>
      </w:r>
    </w:p>
    <w:p w14:paraId="731A15D9">
      <w:pPr>
        <w:pStyle w:val="8"/>
      </w:pPr>
    </w:p>
    <w:p w14:paraId="3EBCBA64">
      <w:pPr>
        <w:pStyle w:val="5"/>
        <w:keepNext w:val="0"/>
        <w:keepLines w:val="0"/>
        <w:numPr>
          <w:ilvl w:val="0"/>
          <w:numId w:val="23"/>
        </w:numPr>
        <w:adjustRightInd w:val="0"/>
        <w:snapToGrid w:val="0"/>
        <w:spacing w:before="0" w:after="0" w:line="600" w:lineRule="exact"/>
        <w:ind w:firstLine="643" w:firstLineChars="200"/>
        <w:rPr>
          <w:rFonts w:eastAsia="楷体"/>
        </w:rPr>
      </w:pPr>
      <w:r>
        <w:rPr>
          <w:rFonts w:hint="eastAsia" w:eastAsia="楷体"/>
        </w:rPr>
        <w:t>提高乡村交通标准</w:t>
      </w:r>
    </w:p>
    <w:p w14:paraId="425C284E">
      <w:pPr>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着重完善农村道路基础设施及相应的配套设施建设，对骨干道路提档升级改造。高标准建设蟠龙镇、金河镇、硖石镇等乡村道路及附属设施，提高村乡镇道路交通运输承载力。提升“四好农村路”的服务水准及特色乡村道路的建设工作。加强乡村公共交通建设，合理设置乡镇公交枢纽站、停靠点，实施划片区多线路运行，加强公交运输的覆盖面及定时率。同时依据农村人员的出行特点及流向，适时开启赶集车、校车、周末线、旅游线等特色路线，打造农村方便、快捷的出行方式。</w:t>
      </w:r>
    </w:p>
    <w:p w14:paraId="49DC4DA0">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E2A2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DA39C33">
            <w:pPr>
              <w:ind w:firstLine="2240" w:firstLineChars="800"/>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7</w:t>
            </w:r>
            <w:r>
              <w:rPr>
                <w:rFonts w:ascii="Times New Roman" w:hAnsi="Times New Roman" w:eastAsia="黑体"/>
                <w:sz w:val="28"/>
                <w:szCs w:val="28"/>
              </w:rPr>
              <w:t xml:space="preserve"> </w:t>
            </w:r>
            <w:r>
              <w:rPr>
                <w:rFonts w:hint="eastAsia" w:ascii="Times New Roman" w:hAnsi="Times New Roman" w:eastAsia="黑体"/>
                <w:sz w:val="28"/>
                <w:szCs w:val="28"/>
              </w:rPr>
              <w:t>城市道路建设重大项目</w:t>
            </w:r>
          </w:p>
        </w:tc>
      </w:tr>
      <w:tr w14:paraId="4153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A4304E2">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1.宝鸡市北绕城高速公路项目</w:t>
            </w:r>
            <w:r>
              <w:rPr>
                <w:rFonts w:hint="eastAsia" w:ascii="仿宋_GB2312" w:hAnsi="仿宋_GB2312" w:eastAsia="仿宋_GB2312" w:cs="仿宋_GB2312"/>
                <w:sz w:val="28"/>
                <w:szCs w:val="28"/>
              </w:rPr>
              <w:t>。</w:t>
            </w:r>
            <w:r>
              <w:rPr>
                <w:rFonts w:hint="eastAsia" w:ascii="仿宋_GB2312" w:hAnsi="仿宋_GB2312" w:eastAsia="仿宋_GB2312" w:cs="仿宋_GB2312"/>
                <w:spacing w:val="-8"/>
                <w:sz w:val="28"/>
                <w:szCs w:val="28"/>
              </w:rPr>
              <w:t>路线全长45公里,投资约75亿元</w:t>
            </w:r>
            <w:r>
              <w:rPr>
                <w:rFonts w:hint="eastAsia" w:ascii="仿宋_GB2312" w:hAnsi="仿宋_GB2312" w:eastAsia="仿宋_GB2312" w:cs="仿宋_GB2312"/>
                <w:sz w:val="28"/>
                <w:szCs w:val="28"/>
              </w:rPr>
              <w:t>。</w:t>
            </w:r>
          </w:p>
          <w:p w14:paraId="4EDC38C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2.蟠高快速干线项目。</w:t>
            </w:r>
            <w:r>
              <w:rPr>
                <w:rFonts w:hint="eastAsia" w:ascii="仿宋_GB2312" w:hAnsi="仿宋_GB2312" w:eastAsia="仿宋_GB2312" w:cs="仿宋_GB2312"/>
                <w:sz w:val="28"/>
                <w:szCs w:val="28"/>
              </w:rPr>
              <w:t>全长9.9公里。高差为182米，双向六车道。地面双向四车道,投资约43.45亿元。</w:t>
            </w:r>
          </w:p>
          <w:p w14:paraId="71268B4B">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3.金台区通用机场项目。</w:t>
            </w:r>
            <w:r>
              <w:rPr>
                <w:rFonts w:hint="eastAsia" w:ascii="仿宋_GB2312" w:hAnsi="仿宋_GB2312" w:eastAsia="仿宋_GB2312" w:cs="仿宋_GB2312"/>
                <w:sz w:val="28"/>
                <w:szCs w:val="28"/>
              </w:rPr>
              <w:t>在现有跑道基础上扩建400米跑道；建设机库、维修厂房、航油车库及其他航油设施,投资约3.8亿元。</w:t>
            </w:r>
          </w:p>
          <w:p w14:paraId="36F06F6E">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4.连霍高速宝鸡城区过境段市政化改造工程。</w:t>
            </w:r>
            <w:r>
              <w:rPr>
                <w:rFonts w:hint="eastAsia" w:ascii="仿宋_GB2312" w:hAnsi="仿宋_GB2312" w:eastAsia="仿宋_GB2312" w:cs="仿宋_GB2312"/>
                <w:sz w:val="28"/>
                <w:szCs w:val="28"/>
              </w:rPr>
              <w:t>建设道路6.89公里，双向六车道，桥梁7座（含上跨主线桥和匝道桥），互通式立交2处，主线收费站2处，投资约16亿元。</w:t>
            </w:r>
          </w:p>
          <w:p w14:paraId="41BDE8C2">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5.S222宝鸡市区西过境金台段。</w:t>
            </w:r>
            <w:r>
              <w:rPr>
                <w:rFonts w:hint="eastAsia" w:ascii="仿宋_GB2312" w:hAnsi="仿宋_GB2312" w:eastAsia="仿宋_GB2312" w:cs="仿宋_GB2312"/>
                <w:sz w:val="28"/>
                <w:szCs w:val="28"/>
              </w:rPr>
              <w:t>新改建金台段二级公路15.3公里,建设配套设施，投资约1亿元。</w:t>
            </w:r>
          </w:p>
          <w:p w14:paraId="4F4BE900">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bCs/>
                <w:sz w:val="28"/>
                <w:szCs w:val="28"/>
              </w:rPr>
              <w:t>6.金台区停车场建设项目。</w:t>
            </w:r>
            <w:r>
              <w:rPr>
                <w:rFonts w:hint="eastAsia" w:ascii="仿宋_GB2312" w:hAnsi="仿宋_GB2312" w:eastAsia="仿宋_GB2312" w:cs="仿宋_GB2312"/>
                <w:sz w:val="28"/>
                <w:szCs w:val="28"/>
              </w:rPr>
              <w:t>新建西府天地、金河工业园、大庆路等停车场，配套设施建设，投资约8亿元。</w:t>
            </w:r>
          </w:p>
          <w:p w14:paraId="67F8A150">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.蟠龙高新区市政基础设施建设项目。</w:t>
            </w:r>
            <w:r>
              <w:rPr>
                <w:rFonts w:hint="eastAsia" w:ascii="仿宋_GB2312" w:hAnsi="仿宋_GB2312" w:eastAsia="仿宋_GB2312" w:cs="仿宋_GB2312"/>
                <w:sz w:val="28"/>
                <w:szCs w:val="28"/>
              </w:rPr>
              <w:t>龙川路、西一路、大槐树路、西二路等35条市政道路工程及附属设施，投资约40亿元。</w:t>
            </w:r>
          </w:p>
          <w:p w14:paraId="48E3C102">
            <w:pPr>
              <w:adjustRightInd w:val="0"/>
              <w:snapToGrid w:val="0"/>
              <w:spacing w:line="400" w:lineRule="exact"/>
              <w:ind w:firstLine="551" w:firstLineChars="196"/>
              <w:jc w:val="both"/>
              <w:rPr>
                <w:rFonts w:ascii="Times New Roman" w:hAnsi="Times New Roman" w:eastAsia="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.蟠龙高新区停车场项目。</w:t>
            </w:r>
            <w:r>
              <w:rPr>
                <w:rFonts w:hint="eastAsia" w:ascii="仿宋_GB2312" w:hAnsi="仿宋_GB2312" w:eastAsia="仿宋_GB2312" w:cs="仿宋_GB2312"/>
                <w:sz w:val="28"/>
                <w:szCs w:val="28"/>
              </w:rPr>
              <w:t>建五处体停车场，投资约3.15亿元。</w:t>
            </w:r>
          </w:p>
        </w:tc>
      </w:tr>
    </w:tbl>
    <w:p w14:paraId="47AE36A7">
      <w:pPr>
        <w:rPr>
          <w:rFonts w:ascii="Times New Roman" w:hAnsi="Times New Roman" w:cs="宋体"/>
          <w:sz w:val="32"/>
          <w:szCs w:val="24"/>
        </w:rPr>
      </w:pPr>
      <w:bookmarkStart w:id="210" w:name="_Toc50988077"/>
      <w:bookmarkStart w:id="211" w:name="_Toc53863308"/>
      <w:bookmarkStart w:id="212" w:name="_Toc50988329"/>
      <w:bookmarkStart w:id="213" w:name="_Toc50710113"/>
      <w:bookmarkStart w:id="214" w:name="_Toc49276064"/>
      <w:r>
        <w:rPr>
          <w:rFonts w:hint="eastAsia" w:ascii="Times New Roman" w:hAnsi="Times New Roman" w:cs="宋体"/>
          <w:sz w:val="32"/>
          <w:szCs w:val="24"/>
        </w:rPr>
        <w:br w:type="page"/>
      </w:r>
    </w:p>
    <w:p w14:paraId="26F44E2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15" w:name="_Toc66442987"/>
      <w:r>
        <w:rPr>
          <w:rFonts w:hint="eastAsia" w:ascii="Times New Roman" w:hAnsi="Times New Roman" w:cs="宋体"/>
          <w:bCs w:val="0"/>
          <w:sz w:val="32"/>
          <w:szCs w:val="24"/>
        </w:rPr>
        <w:t>第二节</w:t>
      </w:r>
      <w:r>
        <w:rPr>
          <w:rFonts w:ascii="Times New Roman" w:hAnsi="Times New Roman" w:cs="宋体"/>
          <w:bCs w:val="0"/>
          <w:sz w:val="32"/>
          <w:szCs w:val="24"/>
        </w:rPr>
        <w:t xml:space="preserve"> </w:t>
      </w:r>
      <w:bookmarkStart w:id="216" w:name="_Toc42100154"/>
      <w:bookmarkStart w:id="217" w:name="_Toc42610396"/>
      <w:bookmarkStart w:id="218" w:name="_Toc41855013"/>
      <w:r>
        <w:rPr>
          <w:rFonts w:hint="eastAsia" w:ascii="Times New Roman" w:hAnsi="Times New Roman" w:cs="宋体"/>
          <w:bCs w:val="0"/>
          <w:sz w:val="32"/>
          <w:szCs w:val="24"/>
        </w:rPr>
        <w:t>提升市政配套服务</w:t>
      </w:r>
      <w:bookmarkEnd w:id="216"/>
      <w:bookmarkEnd w:id="217"/>
      <w:bookmarkEnd w:id="218"/>
      <w:r>
        <w:rPr>
          <w:rFonts w:hint="eastAsia" w:ascii="Times New Roman" w:hAnsi="Times New Roman" w:cs="宋体"/>
          <w:bCs w:val="0"/>
          <w:sz w:val="32"/>
          <w:szCs w:val="24"/>
        </w:rPr>
        <w:t>功能</w:t>
      </w:r>
      <w:bookmarkEnd w:id="210"/>
      <w:bookmarkEnd w:id="211"/>
      <w:bookmarkEnd w:id="212"/>
      <w:bookmarkEnd w:id="213"/>
      <w:bookmarkEnd w:id="214"/>
      <w:bookmarkEnd w:id="215"/>
    </w:p>
    <w:p w14:paraId="52E2FE7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按照“海绵城市”建设要求，提升城市防洪排涝能力，加快推进市政基础设施现代化，探索城市地下综合管廊工程试点，加强公共人防设施和应急避难场所建设，完善给水、排水、电力、燃气、通信等市政配套设施。</w:t>
      </w:r>
    </w:p>
    <w:p w14:paraId="73389E4B">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完善水利基础设施</w:t>
      </w:r>
    </w:p>
    <w:p w14:paraId="0F0705BF">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b/>
          <w:sz w:val="32"/>
          <w:szCs w:val="32"/>
        </w:rPr>
        <w:t>加快城乡供水设施提档升级。</w:t>
      </w:r>
      <w:r>
        <w:rPr>
          <w:rFonts w:hint="eastAsia" w:ascii="仿宋_GB2312" w:hAnsi="仿宋_GB2312" w:eastAsia="仿宋_GB2312" w:cs="仿宋_GB2312"/>
          <w:sz w:val="32"/>
          <w:szCs w:val="32"/>
        </w:rPr>
        <w:t>建设蟠龙高新区和硖石镇集中供水工程，改扩建蟠龙镇供水管网、陵原水厂、</w:t>
      </w:r>
      <w:r>
        <w:rPr>
          <w:rFonts w:hint="eastAsia" w:ascii="仿宋_GB2312" w:hAnsi="仿宋_GB2312" w:eastAsia="仿宋_GB2312" w:cs="仿宋_GB2312"/>
          <w:bCs/>
          <w:sz w:val="32"/>
          <w:szCs w:val="32"/>
        </w:rPr>
        <w:t>金河工业园区供水</w:t>
      </w:r>
      <w:r>
        <w:rPr>
          <w:rFonts w:hint="eastAsia" w:ascii="仿宋_GB2312" w:hAnsi="仿宋_GB2312" w:eastAsia="仿宋_GB2312" w:cs="仿宋_GB2312"/>
          <w:sz w:val="32"/>
          <w:szCs w:val="32"/>
        </w:rPr>
        <w:t>工程。建设蟠龙镇、硖石镇农村饮水安全巩固提升工程，对六川店等34个行政村实施供水系统提升改造。逐步实现城乡供水一体化，创新农村供水管理体制，提升农村供水保障能力。加强城市的应急备用水源、抗旱应急工程建设，解决突发干旱期的生产生活用水问题。</w:t>
      </w:r>
    </w:p>
    <w:p w14:paraId="4B9E3517">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开展水网设施提升行动。</w:t>
      </w:r>
      <w:r>
        <w:rPr>
          <w:rFonts w:hint="eastAsia" w:ascii="Times New Roman" w:hAnsi="Times New Roman" w:eastAsia="仿宋_GB2312"/>
          <w:sz w:val="32"/>
          <w:szCs w:val="32"/>
        </w:rPr>
        <w:t>以海绵城市建设为理念，合理规划排水区域和水量，积极推进全区河道沟渠、道路雨污分流、截污工程，完善城市供排水系统，加快北坡沟道治理，全面提高城市防洪排涝能力；推进宝平路地区</w:t>
      </w:r>
      <w:r>
        <w:rPr>
          <w:rFonts w:hint="eastAsia" w:ascii="Times New Roman" w:hAnsi="Times New Roman" w:eastAsia="仿宋_GB2312"/>
          <w:sz w:val="32"/>
          <w:szCs w:val="32"/>
          <w:lang w:eastAsia="zh-CN"/>
        </w:rPr>
        <w:t>城乡接合部</w:t>
      </w:r>
      <w:r>
        <w:rPr>
          <w:rFonts w:hint="eastAsia" w:ascii="Times New Roman" w:hAnsi="Times New Roman" w:eastAsia="仿宋_GB2312"/>
          <w:sz w:val="32"/>
          <w:szCs w:val="32"/>
        </w:rPr>
        <w:t>污水排水管网建设工程，城区主干道截污干管工程及排水防涝设施建设项目。城市建设优先利用植草沟、渗水砖、雨水花园、下沉式绿地等“绿色”措施来组织排水，因地制宜开展地下综合管廊试点工程。</w:t>
      </w:r>
    </w:p>
    <w:p w14:paraId="67F50540">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完善农田水利基础设施。</w:t>
      </w:r>
      <w:r>
        <w:rPr>
          <w:rFonts w:hint="eastAsia" w:ascii="Times New Roman" w:hAnsi="Times New Roman" w:eastAsia="仿宋_GB2312"/>
          <w:sz w:val="32"/>
          <w:szCs w:val="32"/>
        </w:rPr>
        <w:t>实施大中型灌区节水配套改造，提高用水效率，通过引进先进节水技术，最大限度发挥农业水资源的作用。实施蟠龙塬、胜利塬、马家塬引水工程</w:t>
      </w:r>
      <w:r>
        <w:rPr>
          <w:rFonts w:hint="eastAsia" w:ascii="Times New Roman" w:hAnsi="Times New Roman" w:eastAsia="仿宋_GB2312"/>
          <w:bCs/>
          <w:sz w:val="32"/>
          <w:szCs w:val="32"/>
        </w:rPr>
        <w:t>，建设高标准农田，整修田间道路，新建蓄水池及灌溉配套设施等。</w:t>
      </w:r>
      <w:r>
        <w:rPr>
          <w:rFonts w:hint="eastAsia" w:ascii="Times New Roman" w:hAnsi="Times New Roman" w:eastAsia="仿宋_GB2312"/>
          <w:sz w:val="32"/>
          <w:szCs w:val="32"/>
        </w:rPr>
        <w:t>对硖石河水源地、小流域水土保持综合治理，开展常态化水系除险加固工程。</w:t>
      </w:r>
    </w:p>
    <w:p w14:paraId="498021B1">
      <w:pPr>
        <w:pStyle w:val="5"/>
        <w:keepNext w:val="0"/>
        <w:keepLines w:val="0"/>
        <w:numPr>
          <w:ilvl w:val="0"/>
          <w:numId w:val="24"/>
        </w:numPr>
        <w:adjustRightInd w:val="0"/>
        <w:snapToGrid w:val="0"/>
        <w:spacing w:before="0" w:after="0" w:line="600" w:lineRule="exact"/>
        <w:ind w:firstLine="643" w:firstLineChars="200"/>
        <w:rPr>
          <w:rFonts w:eastAsia="楷体"/>
        </w:rPr>
      </w:pPr>
      <w:r>
        <w:rPr>
          <w:rFonts w:hint="eastAsia" w:eastAsia="楷体"/>
        </w:rPr>
        <w:t>完善能源动力设施</w:t>
      </w:r>
    </w:p>
    <w:p w14:paraId="19C905DD">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加快完善电网配套工作。</w:t>
      </w:r>
      <w:r>
        <w:rPr>
          <w:rFonts w:hint="eastAsia" w:ascii="Times New Roman" w:hAnsi="Times New Roman" w:eastAsia="仿宋_GB2312"/>
          <w:sz w:val="32"/>
          <w:szCs w:val="32"/>
        </w:rPr>
        <w:t>推进蟠龙高新区及产业聚集区的配套电网、城区电网改造升级建设项目，保障城市发展需求。加大农村电网升级改造力度，扩大电网覆盖范围，实施乡村亮化工程，推进农村电网改造升级，满足农村生产生活用电需要。因地制宜推进天然气、风能、太阳能等清洁能源利用，实现供能方式多元化、清洁化。推进蟠龙高新区强弱电综合管廊项目建设。</w:t>
      </w:r>
    </w:p>
    <w:p w14:paraId="65B27D07">
      <w:pPr>
        <w:pStyle w:val="49"/>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sz w:val="32"/>
          <w:szCs w:val="32"/>
        </w:rPr>
        <w:t>建立多气源的城市供气保障体系。</w:t>
      </w:r>
      <w:r>
        <w:rPr>
          <w:rFonts w:hint="eastAsia" w:ascii="仿宋_GB2312" w:hAnsi="仿宋_GB2312" w:eastAsia="仿宋_GB2312" w:cs="仿宋_GB2312"/>
          <w:sz w:val="32"/>
          <w:szCs w:val="32"/>
        </w:rPr>
        <w:t>实施金河工业园天然气管网建设，建设</w:t>
      </w:r>
      <w:r>
        <w:rPr>
          <w:rFonts w:hint="eastAsia" w:ascii="仿宋_GB2312" w:hAnsi="仿宋_GB2312" w:eastAsia="仿宋_GB2312" w:cs="仿宋_GB2312"/>
          <w:bCs/>
          <w:sz w:val="32"/>
          <w:szCs w:val="32"/>
        </w:rPr>
        <w:t>蟠龙高新区专项供气工程，敷设天然气管网43公里。</w:t>
      </w:r>
      <w:r>
        <w:rPr>
          <w:rFonts w:hint="eastAsia" w:ascii="仿宋_GB2312" w:hAnsi="仿宋_GB2312" w:eastAsia="仿宋_GB2312" w:cs="仿宋_GB2312"/>
          <w:sz w:val="32"/>
          <w:szCs w:val="32"/>
        </w:rPr>
        <w:t>推进天然气高压管道、高压球罐、LNG等多种储气调峰设施建设，不断提高城乡燃气能源利用率。</w:t>
      </w:r>
    </w:p>
    <w:p w14:paraId="3EE6BA61">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提高城镇供热覆盖率。</w:t>
      </w:r>
      <w:r>
        <w:rPr>
          <w:rFonts w:hint="eastAsia" w:ascii="Times New Roman" w:hAnsi="Times New Roman" w:eastAsia="仿宋_GB2312"/>
          <w:sz w:val="32"/>
          <w:szCs w:val="32"/>
        </w:rPr>
        <w:t>充分利用热源厂、工业余热、地源热泵、电热等供热方式，实施集中、分散式供热相结合的模式，重点推进</w:t>
      </w:r>
      <w:r>
        <w:rPr>
          <w:rFonts w:hint="eastAsia" w:ascii="Times New Roman" w:hAnsi="Times New Roman" w:eastAsia="仿宋_GB2312"/>
          <w:bCs/>
          <w:sz w:val="32"/>
          <w:szCs w:val="32"/>
        </w:rPr>
        <w:t>蟠龙高新区供热工程</w:t>
      </w:r>
      <w:r>
        <w:rPr>
          <w:rFonts w:hint="eastAsia" w:ascii="Times New Roman" w:hAnsi="Times New Roman" w:eastAsia="仿宋_GB2312"/>
          <w:sz w:val="32"/>
          <w:szCs w:val="32"/>
        </w:rPr>
        <w:t>建设。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7FA7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D7C51C0">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1</w:t>
            </w:r>
            <w:r>
              <w:rPr>
                <w:rFonts w:hint="eastAsia" w:ascii="Times New Roman" w:hAnsi="Times New Roman" w:eastAsia="黑体"/>
                <w:sz w:val="28"/>
                <w:szCs w:val="28"/>
              </w:rPr>
              <w:t>8</w:t>
            </w:r>
            <w:r>
              <w:rPr>
                <w:rFonts w:ascii="Times New Roman" w:hAnsi="Times New Roman" w:eastAsia="黑体"/>
                <w:sz w:val="28"/>
                <w:szCs w:val="28"/>
              </w:rPr>
              <w:t xml:space="preserve">  </w:t>
            </w:r>
            <w:r>
              <w:rPr>
                <w:rFonts w:hint="eastAsia" w:ascii="Times New Roman" w:hAnsi="Times New Roman" w:eastAsia="黑体"/>
                <w:sz w:val="28"/>
                <w:szCs w:val="28"/>
              </w:rPr>
              <w:t>市政配套设施重大项目</w:t>
            </w:r>
          </w:p>
        </w:tc>
      </w:tr>
      <w:tr w14:paraId="2428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EC08D9B">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1</w:t>
            </w:r>
            <w:r>
              <w:rPr>
                <w:rFonts w:ascii="Times New Roman" w:hAnsi="Times New Roman" w:eastAsia="仿宋_GB2312"/>
                <w:b/>
                <w:sz w:val="28"/>
                <w:szCs w:val="28"/>
              </w:rPr>
              <w:t>.</w:t>
            </w:r>
            <w:r>
              <w:rPr>
                <w:rFonts w:hint="eastAsia" w:ascii="Times New Roman" w:hAnsi="Times New Roman" w:eastAsia="仿宋_GB2312"/>
                <w:b/>
                <w:sz w:val="28"/>
                <w:szCs w:val="28"/>
              </w:rPr>
              <w:t>蟠龙高新区供水管网工程。</w:t>
            </w:r>
            <w:r>
              <w:rPr>
                <w:rFonts w:hint="eastAsia" w:ascii="Times New Roman" w:hAnsi="Times New Roman" w:eastAsia="仿宋_GB2312"/>
                <w:sz w:val="28"/>
                <w:szCs w:val="28"/>
              </w:rPr>
              <w:t>连接蟠龙高新区水厂，建设供水管网</w:t>
            </w:r>
            <w:r>
              <w:rPr>
                <w:rFonts w:ascii="Times New Roman" w:hAnsi="Times New Roman" w:eastAsia="仿宋_GB2312"/>
                <w:sz w:val="28"/>
                <w:szCs w:val="28"/>
              </w:rPr>
              <w:t>36.8</w:t>
            </w:r>
            <w:r>
              <w:rPr>
                <w:rFonts w:hint="eastAsia" w:ascii="Times New Roman" w:hAnsi="Times New Roman" w:eastAsia="仿宋_GB2312"/>
                <w:sz w:val="28"/>
                <w:szCs w:val="28"/>
              </w:rPr>
              <w:t>千米，新增供水量</w:t>
            </w:r>
            <w:r>
              <w:rPr>
                <w:rFonts w:ascii="Times New Roman" w:hAnsi="Times New Roman" w:eastAsia="仿宋_GB2312"/>
                <w:sz w:val="28"/>
                <w:szCs w:val="28"/>
              </w:rPr>
              <w:t>3</w:t>
            </w:r>
            <w:r>
              <w:rPr>
                <w:rFonts w:hint="eastAsia" w:ascii="Times New Roman" w:hAnsi="Times New Roman" w:eastAsia="仿宋_GB2312"/>
                <w:sz w:val="28"/>
                <w:szCs w:val="28"/>
              </w:rPr>
              <w:t>万吨</w:t>
            </w:r>
            <w:r>
              <w:rPr>
                <w:rFonts w:ascii="Times New Roman" w:hAnsi="Times New Roman" w:eastAsia="仿宋_GB2312"/>
                <w:sz w:val="28"/>
                <w:szCs w:val="28"/>
              </w:rPr>
              <w:t>/</w:t>
            </w:r>
            <w:r>
              <w:rPr>
                <w:rFonts w:hint="eastAsia" w:ascii="Times New Roman" w:hAnsi="Times New Roman" w:eastAsia="仿宋_GB2312"/>
                <w:sz w:val="28"/>
                <w:szCs w:val="28"/>
              </w:rPr>
              <w:t>日，投资约</w:t>
            </w:r>
            <w:r>
              <w:rPr>
                <w:rFonts w:ascii="Times New Roman" w:hAnsi="Times New Roman" w:eastAsia="仿宋_GB2312"/>
                <w:sz w:val="28"/>
                <w:szCs w:val="28"/>
              </w:rPr>
              <w:t>1.5</w:t>
            </w:r>
            <w:r>
              <w:rPr>
                <w:rFonts w:hint="eastAsia" w:ascii="Times New Roman" w:hAnsi="Times New Roman" w:eastAsia="仿宋_GB2312"/>
                <w:sz w:val="28"/>
                <w:szCs w:val="28"/>
              </w:rPr>
              <w:t>亿元。</w:t>
            </w:r>
          </w:p>
          <w:p w14:paraId="5F62002D">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hint="eastAsia" w:ascii="Times New Roman" w:hAnsi="Times New Roman" w:eastAsia="仿宋_GB2312"/>
                <w:b/>
                <w:sz w:val="28"/>
                <w:szCs w:val="28"/>
              </w:rPr>
              <w:t>2</w:t>
            </w:r>
            <w:r>
              <w:rPr>
                <w:rFonts w:ascii="Times New Roman" w:hAnsi="Times New Roman" w:eastAsia="仿宋_GB2312"/>
                <w:b/>
                <w:sz w:val="28"/>
                <w:szCs w:val="28"/>
              </w:rPr>
              <w:t>.</w:t>
            </w:r>
            <w:r>
              <w:rPr>
                <w:rFonts w:hint="eastAsia" w:ascii="Times New Roman" w:hAnsi="Times New Roman" w:eastAsia="仿宋_GB2312"/>
                <w:b/>
                <w:sz w:val="28"/>
                <w:szCs w:val="28"/>
              </w:rPr>
              <w:t>金台区陵原水厂改扩建项目。</w:t>
            </w:r>
            <w:r>
              <w:rPr>
                <w:rFonts w:hint="eastAsia" w:ascii="Times New Roman" w:hAnsi="Times New Roman" w:eastAsia="仿宋_GB2312"/>
                <w:sz w:val="28"/>
                <w:szCs w:val="28"/>
              </w:rPr>
              <w:t>扩建水厂场站构筑物工程，配套工艺管道及其附属设施；更新原水厂运维控制系统，投资约</w:t>
            </w:r>
            <w:r>
              <w:rPr>
                <w:rFonts w:ascii="Times New Roman" w:hAnsi="Times New Roman" w:eastAsia="仿宋_GB2312"/>
                <w:sz w:val="28"/>
                <w:szCs w:val="28"/>
              </w:rPr>
              <w:t>0.23</w:t>
            </w:r>
            <w:r>
              <w:rPr>
                <w:rFonts w:hint="eastAsia" w:ascii="Times New Roman" w:hAnsi="Times New Roman" w:eastAsia="仿宋_GB2312"/>
                <w:sz w:val="28"/>
                <w:szCs w:val="28"/>
              </w:rPr>
              <w:t>亿元。</w:t>
            </w:r>
          </w:p>
          <w:p w14:paraId="089631BA">
            <w:pPr>
              <w:widowControl w:val="0"/>
              <w:adjustRightInd w:val="0"/>
              <w:snapToGrid w:val="0"/>
              <w:spacing w:line="380" w:lineRule="exact"/>
              <w:ind w:firstLine="551" w:firstLineChars="196"/>
              <w:jc w:val="both"/>
              <w:rPr>
                <w:rFonts w:ascii="Times New Roman" w:hAnsi="Times New Roman" w:eastAsia="仿宋_GB2312"/>
                <w:sz w:val="28"/>
                <w:szCs w:val="28"/>
              </w:rPr>
            </w:pPr>
            <w:r>
              <w:rPr>
                <w:rFonts w:hint="eastAsia" w:ascii="Times New Roman" w:hAnsi="Times New Roman" w:eastAsia="仿宋_GB2312"/>
                <w:b/>
                <w:sz w:val="28"/>
                <w:szCs w:val="28"/>
              </w:rPr>
              <w:t>3</w:t>
            </w:r>
            <w:r>
              <w:rPr>
                <w:rFonts w:ascii="Times New Roman" w:hAnsi="Times New Roman" w:eastAsia="仿宋_GB2312"/>
                <w:b/>
                <w:sz w:val="28"/>
                <w:szCs w:val="28"/>
              </w:rPr>
              <w:t>.</w:t>
            </w:r>
            <w:r>
              <w:rPr>
                <w:rFonts w:hint="eastAsia" w:ascii="Times New Roman" w:hAnsi="Times New Roman" w:eastAsia="仿宋_GB2312"/>
                <w:b/>
                <w:sz w:val="28"/>
                <w:szCs w:val="28"/>
              </w:rPr>
              <w:t>蟠龙塬、胜利塬引水工程建设项目。</w:t>
            </w:r>
            <w:r>
              <w:rPr>
                <w:rFonts w:hint="eastAsia" w:ascii="Times New Roman" w:hAnsi="Times New Roman" w:eastAsia="仿宋_GB2312"/>
                <w:sz w:val="28"/>
                <w:szCs w:val="28"/>
              </w:rPr>
              <w:t>在蟠龙塬、胜利塬修建灌溉工程，管网共计</w:t>
            </w:r>
            <w:r>
              <w:rPr>
                <w:rFonts w:ascii="Times New Roman" w:hAnsi="Times New Roman" w:eastAsia="仿宋_GB2312"/>
                <w:sz w:val="28"/>
                <w:szCs w:val="28"/>
              </w:rPr>
              <w:t>50km</w:t>
            </w:r>
            <w:r>
              <w:rPr>
                <w:rFonts w:hint="eastAsia" w:ascii="Times New Roman" w:hAnsi="Times New Roman" w:eastAsia="仿宋_GB2312"/>
                <w:sz w:val="28"/>
                <w:szCs w:val="28"/>
              </w:rPr>
              <w:t>，蓄水池</w:t>
            </w:r>
            <w:r>
              <w:rPr>
                <w:rFonts w:ascii="Times New Roman" w:hAnsi="Times New Roman" w:eastAsia="仿宋_GB2312"/>
                <w:sz w:val="28"/>
                <w:szCs w:val="28"/>
              </w:rPr>
              <w:t>4</w:t>
            </w:r>
            <w:r>
              <w:rPr>
                <w:rFonts w:hint="eastAsia" w:ascii="Times New Roman" w:hAnsi="Times New Roman" w:eastAsia="仿宋_GB2312"/>
                <w:sz w:val="28"/>
                <w:szCs w:val="28"/>
              </w:rPr>
              <w:t>个，投资约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p w14:paraId="7F689FA6">
            <w:pPr>
              <w:widowControl w:val="0"/>
              <w:adjustRightInd w:val="0"/>
              <w:snapToGrid w:val="0"/>
              <w:spacing w:line="380" w:lineRule="exact"/>
              <w:ind w:firstLine="562" w:firstLineChars="200"/>
              <w:jc w:val="both"/>
              <w:rPr>
                <w:rFonts w:ascii="Times New Roman" w:hAnsi="Times New Roman" w:eastAsia="仿宋_GB2312"/>
                <w:b/>
                <w:sz w:val="28"/>
                <w:szCs w:val="28"/>
              </w:rPr>
            </w:pPr>
            <w:r>
              <w:rPr>
                <w:rFonts w:ascii="Times New Roman" w:hAnsi="Times New Roman" w:eastAsia="仿宋_GB2312"/>
                <w:b/>
                <w:sz w:val="28"/>
                <w:szCs w:val="28"/>
              </w:rPr>
              <w:t>4.</w:t>
            </w:r>
            <w:r>
              <w:rPr>
                <w:rFonts w:hint="eastAsia" w:ascii="Times New Roman" w:hAnsi="Times New Roman" w:eastAsia="仿宋_GB2312"/>
                <w:b/>
                <w:sz w:val="28"/>
                <w:szCs w:val="28"/>
              </w:rPr>
              <w:t>金台区三镇地源热供暖项目。</w:t>
            </w:r>
            <w:r>
              <w:rPr>
                <w:rFonts w:hint="eastAsia" w:ascii="Times New Roman" w:hAnsi="Times New Roman" w:eastAsia="仿宋_GB2312"/>
                <w:bCs/>
                <w:sz w:val="28"/>
                <w:szCs w:val="28"/>
              </w:rPr>
              <w:t>在金河镇、蟠龙镇、硖石镇政府、部分学校、卫生所、居民住宅区建设地源热供暖系统，投资约3</w:t>
            </w:r>
            <w:r>
              <w:rPr>
                <w:rFonts w:ascii="Times New Roman" w:hAnsi="Times New Roman" w:eastAsia="仿宋_GB2312"/>
                <w:bCs/>
                <w:sz w:val="28"/>
                <w:szCs w:val="28"/>
              </w:rPr>
              <w:t>.8</w:t>
            </w:r>
            <w:r>
              <w:rPr>
                <w:rFonts w:hint="eastAsia" w:ascii="Times New Roman" w:hAnsi="Times New Roman" w:eastAsia="仿宋_GB2312"/>
                <w:bCs/>
                <w:sz w:val="28"/>
                <w:szCs w:val="28"/>
              </w:rPr>
              <w:t>亿元。</w:t>
            </w:r>
          </w:p>
          <w:p w14:paraId="6B14D445">
            <w:pPr>
              <w:widowControl w:val="0"/>
              <w:adjustRightInd w:val="0"/>
              <w:snapToGrid w:val="0"/>
              <w:spacing w:line="380" w:lineRule="exact"/>
              <w:ind w:firstLine="562" w:firstLineChars="200"/>
              <w:jc w:val="both"/>
              <w:rPr>
                <w:rFonts w:ascii="Times New Roman" w:hAnsi="Times New Roman" w:eastAsia="仿宋_GB2312"/>
                <w:sz w:val="28"/>
                <w:szCs w:val="28"/>
              </w:rPr>
            </w:pPr>
            <w:r>
              <w:rPr>
                <w:rFonts w:ascii="Times New Roman" w:hAnsi="Times New Roman" w:eastAsia="仿宋_GB2312"/>
                <w:b/>
                <w:sz w:val="28"/>
                <w:szCs w:val="28"/>
              </w:rPr>
              <w:t>5.</w:t>
            </w:r>
            <w:r>
              <w:rPr>
                <w:rFonts w:hint="eastAsia" w:ascii="Times New Roman" w:hAnsi="Times New Roman" w:eastAsia="仿宋_GB2312"/>
                <w:b/>
                <w:sz w:val="28"/>
                <w:szCs w:val="28"/>
              </w:rPr>
              <w:t>蟠龙新区供气工程。</w:t>
            </w:r>
            <w:r>
              <w:rPr>
                <w:rFonts w:hint="eastAsia" w:ascii="Times New Roman" w:hAnsi="Times New Roman" w:eastAsia="仿宋_GB2312"/>
                <w:sz w:val="28"/>
                <w:szCs w:val="28"/>
              </w:rPr>
              <w:t>敷设天然气管网</w:t>
            </w:r>
            <w:r>
              <w:rPr>
                <w:rFonts w:ascii="Times New Roman" w:hAnsi="Times New Roman" w:eastAsia="仿宋_GB2312"/>
                <w:sz w:val="28"/>
                <w:szCs w:val="28"/>
              </w:rPr>
              <w:t>43</w:t>
            </w:r>
            <w:r>
              <w:rPr>
                <w:rFonts w:hint="eastAsia" w:ascii="Times New Roman" w:hAnsi="Times New Roman" w:eastAsia="仿宋_GB2312"/>
                <w:sz w:val="28"/>
                <w:szCs w:val="28"/>
              </w:rPr>
              <w:t>公里，管径为</w:t>
            </w:r>
            <w:r>
              <w:rPr>
                <w:rFonts w:ascii="Times New Roman" w:hAnsi="Times New Roman" w:eastAsia="仿宋_GB2312"/>
                <w:sz w:val="28"/>
                <w:szCs w:val="28"/>
              </w:rPr>
              <w:t>DN150-DN200</w:t>
            </w:r>
            <w:r>
              <w:rPr>
                <w:rFonts w:hint="eastAsia" w:ascii="Times New Roman" w:hAnsi="Times New Roman" w:eastAsia="仿宋_GB2312"/>
                <w:sz w:val="28"/>
                <w:szCs w:val="28"/>
              </w:rPr>
              <w:t>的</w:t>
            </w:r>
            <w:r>
              <w:rPr>
                <w:rFonts w:ascii="Times New Roman" w:hAnsi="Times New Roman" w:eastAsia="仿宋_GB2312"/>
                <w:sz w:val="28"/>
                <w:szCs w:val="28"/>
              </w:rPr>
              <w:t>PE</w:t>
            </w:r>
            <w:r>
              <w:rPr>
                <w:rFonts w:hint="eastAsia" w:ascii="Times New Roman" w:hAnsi="Times New Roman" w:eastAsia="仿宋_GB2312"/>
                <w:sz w:val="28"/>
                <w:szCs w:val="28"/>
              </w:rPr>
              <w:t>管，设置燃气阀门井，投资约</w:t>
            </w:r>
            <w:r>
              <w:rPr>
                <w:rFonts w:ascii="Times New Roman" w:hAnsi="Times New Roman" w:eastAsia="仿宋_GB2312"/>
                <w:sz w:val="28"/>
                <w:szCs w:val="28"/>
              </w:rPr>
              <w:t>4</w:t>
            </w:r>
            <w:r>
              <w:rPr>
                <w:rFonts w:hint="eastAsia" w:ascii="Times New Roman" w:hAnsi="Times New Roman" w:eastAsia="仿宋_GB2312"/>
                <w:sz w:val="28"/>
                <w:szCs w:val="28"/>
              </w:rPr>
              <w:t>亿元。</w:t>
            </w:r>
          </w:p>
        </w:tc>
      </w:tr>
    </w:tbl>
    <w:p w14:paraId="6D2AA759">
      <w:pPr>
        <w:pStyle w:val="49"/>
        <w:widowControl w:val="0"/>
        <w:adjustRightInd w:val="0"/>
        <w:snapToGrid w:val="0"/>
        <w:spacing w:line="560" w:lineRule="exact"/>
        <w:ind w:firstLine="640"/>
        <w:jc w:val="both"/>
        <w:rPr>
          <w:rFonts w:ascii="Times New Roman" w:hAnsi="Times New Roman" w:cs="宋体"/>
          <w:bCs/>
          <w:sz w:val="32"/>
          <w:szCs w:val="24"/>
        </w:rPr>
      </w:pPr>
      <w:bookmarkStart w:id="219" w:name="_Toc42610399"/>
      <w:bookmarkStart w:id="220" w:name="_Toc53863309"/>
      <w:bookmarkStart w:id="221" w:name="_Toc50710114"/>
      <w:bookmarkStart w:id="222" w:name="_Toc50988330"/>
      <w:bookmarkStart w:id="223" w:name="_Toc66442988"/>
      <w:bookmarkStart w:id="224" w:name="_Toc41855016"/>
      <w:bookmarkStart w:id="225" w:name="_Toc50988078"/>
      <w:bookmarkStart w:id="226" w:name="_Toc49276065"/>
      <w:bookmarkStart w:id="227" w:name="_Toc42100157"/>
    </w:p>
    <w:p w14:paraId="2F7AA66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r>
        <w:rPr>
          <w:rFonts w:hint="eastAsia" w:ascii="Times New Roman" w:hAnsi="Times New Roman" w:cs="宋体"/>
          <w:bCs w:val="0"/>
          <w:sz w:val="32"/>
          <w:szCs w:val="24"/>
        </w:rPr>
        <w:t>第三节</w:t>
      </w:r>
      <w:r>
        <w:rPr>
          <w:rFonts w:ascii="Times New Roman" w:hAnsi="Times New Roman" w:cs="宋体"/>
          <w:bCs w:val="0"/>
          <w:sz w:val="32"/>
          <w:szCs w:val="24"/>
        </w:rPr>
        <w:t xml:space="preserve"> </w:t>
      </w:r>
      <w:r>
        <w:rPr>
          <w:rFonts w:hint="eastAsia" w:ascii="Times New Roman" w:hAnsi="Times New Roman" w:cs="宋体"/>
          <w:bCs w:val="0"/>
          <w:sz w:val="32"/>
          <w:szCs w:val="24"/>
        </w:rPr>
        <w:t>推进新型基础设施建设</w:t>
      </w:r>
      <w:bookmarkEnd w:id="219"/>
      <w:bookmarkEnd w:id="220"/>
      <w:bookmarkEnd w:id="221"/>
      <w:bookmarkEnd w:id="222"/>
      <w:bookmarkEnd w:id="223"/>
      <w:bookmarkEnd w:id="224"/>
      <w:bookmarkEnd w:id="225"/>
      <w:bookmarkEnd w:id="226"/>
      <w:bookmarkEnd w:id="227"/>
    </w:p>
    <w:p w14:paraId="4F5CF7D2">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大力发展信息基础设施</w:t>
      </w:r>
    </w:p>
    <w:p w14:paraId="3C9D155B">
      <w:pPr>
        <w:pStyle w:val="49"/>
        <w:widowControl w:val="0"/>
        <w:adjustRightInd w:val="0"/>
        <w:snapToGrid w:val="0"/>
        <w:spacing w:line="560" w:lineRule="exact"/>
        <w:ind w:firstLine="643"/>
        <w:jc w:val="both"/>
        <w:rPr>
          <w:rFonts w:ascii="仿宋_GB2312" w:hAnsi="仿宋_GB2312" w:eastAsia="仿宋_GB2312" w:cs="仿宋_GB2312"/>
          <w:sz w:val="32"/>
          <w:szCs w:val="32"/>
        </w:rPr>
      </w:pPr>
      <w:r>
        <w:rPr>
          <w:rFonts w:hint="eastAsia" w:ascii="Times New Roman" w:hAnsi="Times New Roman" w:eastAsia="仿宋_GB2312"/>
          <w:b/>
          <w:bCs/>
          <w:sz w:val="32"/>
          <w:szCs w:val="32"/>
        </w:rPr>
        <w:t>发展移动互联网及下一代互联网。</w:t>
      </w:r>
      <w:r>
        <w:rPr>
          <w:rFonts w:hint="eastAsia" w:ascii="仿宋_GB2312" w:hAnsi="仿宋_GB2312" w:eastAsia="仿宋_GB2312" w:cs="仿宋_GB2312"/>
          <w:bCs/>
          <w:sz w:val="32"/>
          <w:szCs w:val="32"/>
        </w:rPr>
        <w:t>协助做好5G网络建设，积极探索5G商用及社会公共服务应用模式；提升互联网宽带品质和使用感知；探索和实施公共场所无线网络全覆盖；推动骨干网、城域网、接入网、NB-IoT、IPv6升级改造。到2</w:t>
      </w:r>
      <w:r>
        <w:rPr>
          <w:rFonts w:ascii="仿宋_GB2312" w:hAnsi="仿宋_GB2312" w:eastAsia="仿宋_GB2312" w:cs="仿宋_GB2312"/>
          <w:bCs/>
          <w:sz w:val="32"/>
          <w:szCs w:val="32"/>
        </w:rPr>
        <w:t>025</w:t>
      </w:r>
      <w:r>
        <w:rPr>
          <w:rFonts w:hint="eastAsia" w:ascii="仿宋_GB2312" w:hAnsi="仿宋_GB2312" w:eastAsia="仿宋_GB2312" w:cs="仿宋_GB2312"/>
          <w:bCs/>
          <w:sz w:val="32"/>
          <w:szCs w:val="32"/>
        </w:rPr>
        <w:t>年，镇以上区域实现</w:t>
      </w:r>
      <w:r>
        <w:rPr>
          <w:rFonts w:hint="eastAsia" w:ascii="仿宋_GB2312" w:hAnsi="仿宋_GB2312" w:eastAsia="仿宋_GB2312" w:cs="仿宋_GB2312"/>
          <w:sz w:val="32"/>
          <w:szCs w:val="32"/>
        </w:rPr>
        <w:t>5G网络全覆盖。</w:t>
      </w:r>
    </w:p>
    <w:p w14:paraId="764FF50A">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加快高速宽带网络建设。</w:t>
      </w:r>
      <w:r>
        <w:rPr>
          <w:rFonts w:hint="eastAsia" w:ascii="Times New Roman" w:hAnsi="Times New Roman" w:eastAsia="仿宋_GB2312"/>
          <w:sz w:val="32"/>
          <w:szCs w:val="32"/>
        </w:rPr>
        <w:t>加快建设全光纤网络市区，实现光纤城乡全覆盖，推进光纤宽带提速工程，城市和农村全部实现双千兆接入能力，超前建设超大容量光传输系统，提升网络容量。</w:t>
      </w:r>
    </w:p>
    <w:p w14:paraId="4C76B97A">
      <w:pPr>
        <w:pStyle w:val="49"/>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搭建大数据智能运行中心</w:t>
      </w:r>
      <w:r>
        <w:rPr>
          <w:rFonts w:hint="eastAsia" w:ascii="Times New Roman" w:hAnsi="Times New Roman" w:eastAsia="仿宋_GB2312"/>
          <w:b/>
          <w:spacing w:val="-4"/>
          <w:sz w:val="32"/>
          <w:szCs w:val="32"/>
        </w:rPr>
        <w:t>。</w:t>
      </w:r>
      <w:r>
        <w:rPr>
          <w:rFonts w:hint="eastAsia" w:ascii="Times New Roman" w:hAnsi="Times New Roman" w:eastAsia="仿宋_GB2312"/>
          <w:spacing w:val="-4"/>
          <w:sz w:val="32"/>
          <w:szCs w:val="32"/>
        </w:rPr>
        <w:t>统筹完善“城市云脑”架构，深化数据汇聚共享，以大网络大系统大平台为导向，着力构建数字化的智慧应用体系。重点推进</w:t>
      </w:r>
      <w:r>
        <w:rPr>
          <w:rFonts w:hint="eastAsia" w:ascii="Times New Roman" w:hAnsi="Times New Roman" w:eastAsia="仿宋_GB2312" w:cs="仿宋_GB2312"/>
          <w:spacing w:val="-4"/>
          <w:sz w:val="32"/>
          <w:szCs w:val="32"/>
        </w:rPr>
        <w:t>“智慧大脑”城市大数据智能运行中心、大数据智慧云应用平台、</w:t>
      </w:r>
      <w:r>
        <w:rPr>
          <w:rFonts w:hint="eastAsia" w:ascii="Times New Roman" w:hAnsi="Times New Roman" w:eastAsia="仿宋_GB2312"/>
          <w:spacing w:val="-4"/>
          <w:sz w:val="32"/>
          <w:szCs w:val="32"/>
        </w:rPr>
        <w:t>生产服务型物流枢纽大数据服务中心、蟠龙高新区大数据中心、“村村享”综合服务平台等项目建设。</w:t>
      </w:r>
    </w:p>
    <w:p w14:paraId="7E4278F9">
      <w:pPr>
        <w:pStyle w:val="49"/>
        <w:adjustRightInd w:val="0"/>
        <w:snapToGrid w:val="0"/>
        <w:spacing w:line="560" w:lineRule="exact"/>
        <w:ind w:firstLine="643"/>
        <w:jc w:val="both"/>
        <w:rPr>
          <w:rFonts w:ascii="仿宋_GB2312" w:hAnsi="仿宋_GB2312" w:eastAsia="仿宋_GB2312" w:cs="仿宋_GB2312"/>
          <w:b/>
          <w:sz w:val="32"/>
          <w:szCs w:val="32"/>
        </w:rPr>
      </w:pPr>
      <w:r>
        <w:rPr>
          <w:rFonts w:hint="eastAsia" w:ascii="Times New Roman" w:hAnsi="Times New Roman" w:eastAsia="仿宋_GB2312"/>
          <w:b/>
          <w:sz w:val="32"/>
          <w:szCs w:val="32"/>
        </w:rPr>
        <w:t>加强工业互联网建设。</w:t>
      </w:r>
      <w:r>
        <w:rPr>
          <w:rFonts w:hint="eastAsia" w:ascii="仿宋_GB2312" w:hAnsi="仿宋_GB2312" w:eastAsia="仿宋_GB2312" w:cs="仿宋_GB2312"/>
          <w:sz w:val="32"/>
          <w:szCs w:val="32"/>
        </w:rPr>
        <w:t>全面积极探索智能传输技术的应用，提升智能资源调度水平，满足工业企业高稳定、强交互、广共享的需求。开展工业互联网技术试验验证、工业互联网标识解析系统建设、工业互联网IPv6应用部署、工业互联网管理支撑平台等工作，推动工业互联网创新发展。</w:t>
      </w:r>
    </w:p>
    <w:p w14:paraId="57C5D6AC">
      <w:pPr>
        <w:pStyle w:val="5"/>
        <w:keepNext w:val="0"/>
        <w:keepLines w:val="0"/>
        <w:numPr>
          <w:ilvl w:val="0"/>
          <w:numId w:val="25"/>
        </w:numPr>
        <w:adjustRightInd w:val="0"/>
        <w:snapToGrid w:val="0"/>
        <w:spacing w:before="0" w:after="0" w:line="600" w:lineRule="exact"/>
        <w:ind w:firstLine="643" w:firstLineChars="200"/>
        <w:rPr>
          <w:rFonts w:eastAsia="楷体"/>
        </w:rPr>
      </w:pPr>
      <w:bookmarkStart w:id="228" w:name="_Toc42100159"/>
      <w:bookmarkStart w:id="229" w:name="_Toc41855018"/>
      <w:bookmarkStart w:id="230" w:name="_Toc42610401"/>
      <w:r>
        <w:rPr>
          <w:rFonts w:hint="eastAsia" w:eastAsia="楷体"/>
        </w:rPr>
        <w:t>转型升级融合基础设施</w:t>
      </w:r>
      <w:bookmarkEnd w:id="228"/>
      <w:bookmarkEnd w:id="229"/>
      <w:bookmarkEnd w:id="230"/>
    </w:p>
    <w:p w14:paraId="4F90C189">
      <w:pPr>
        <w:pStyle w:val="49"/>
        <w:widowControl w:val="0"/>
        <w:adjustRightInd w:val="0"/>
        <w:snapToGrid w:val="0"/>
        <w:spacing w:line="560" w:lineRule="exact"/>
        <w:ind w:firstLine="643"/>
        <w:jc w:val="both"/>
        <w:rPr>
          <w:rFonts w:ascii="Times New Roman" w:hAnsi="Times New Roman" w:eastAsia="仿宋_GB2312"/>
          <w:sz w:val="32"/>
          <w:szCs w:val="32"/>
        </w:rPr>
      </w:pPr>
      <w:r>
        <w:rPr>
          <w:rFonts w:hint="eastAsia" w:ascii="Times New Roman" w:hAnsi="Times New Roman" w:eastAsia="仿宋_GB2312"/>
          <w:b/>
          <w:sz w:val="32"/>
          <w:szCs w:val="32"/>
        </w:rPr>
        <w:t>加快传统基础设施转型升级。</w:t>
      </w:r>
      <w:r>
        <w:rPr>
          <w:rFonts w:hint="eastAsia" w:ascii="Times New Roman" w:hAnsi="Times New Roman" w:eastAsia="仿宋_GB2312"/>
          <w:sz w:val="32"/>
          <w:szCs w:val="32"/>
        </w:rPr>
        <w:t>积极开展试点示范，探索</w:t>
      </w:r>
      <w:r>
        <w:rPr>
          <w:rFonts w:ascii="Times New Roman" w:hAnsi="Times New Roman" w:eastAsia="仿宋_GB2312"/>
          <w:sz w:val="32"/>
          <w:szCs w:val="32"/>
        </w:rPr>
        <w:t>5G</w:t>
      </w:r>
      <w:r>
        <w:rPr>
          <w:rFonts w:hint="eastAsia" w:ascii="Times New Roman" w:hAnsi="Times New Roman" w:eastAsia="仿宋_GB2312"/>
          <w:sz w:val="32"/>
          <w:szCs w:val="32"/>
        </w:rPr>
        <w:t>、人工智能、物联网等新一代信息技术在传统基础设施建设运营中的应用模式，重点推进城市综合治理、公共服务、市政管网等方面的深度融合，集约建设城市综合信息载体，推进智能化基础设施建设不断发展，提升传统基础设施运行效率，实现高质量供给和服务能力。</w:t>
      </w:r>
    </w:p>
    <w:p w14:paraId="58EEB002">
      <w:pPr>
        <w:widowControl w:val="0"/>
        <w:topLinePunct/>
        <w:autoSpaceDE w:val="0"/>
        <w:autoSpaceDN w:val="0"/>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推进智慧城市建设。</w:t>
      </w:r>
      <w:r>
        <w:rPr>
          <w:rFonts w:hint="eastAsia" w:ascii="Times New Roman" w:hAnsi="Times New Roman" w:eastAsia="仿宋_GB2312"/>
          <w:spacing w:val="-2"/>
          <w:sz w:val="32"/>
          <w:szCs w:val="32"/>
        </w:rPr>
        <w:t>依托大数据智能运行中心，将原有和新建的各部门数据依据统一标准进行对接，实现城市运营管理信息资源整合与共享，业务应用智能协同，促进各项智慧应用标准化、</w:t>
      </w:r>
      <w:r>
        <w:rPr>
          <w:rFonts w:hint="eastAsia" w:ascii="Times New Roman" w:hAnsi="Times New Roman" w:eastAsia="仿宋_GB2312"/>
          <w:spacing w:val="-4"/>
          <w:sz w:val="32"/>
          <w:szCs w:val="32"/>
        </w:rPr>
        <w:t>规范化。重点推进“智慧教育”“智慧医疗”“智能交通”等建设，推动以数据为支撑的政府管理和社会治理模式创新，促进应用模式和产业创新，提升城市建设自动化、智能化和互联互通水平。</w:t>
      </w:r>
    </w:p>
    <w:p w14:paraId="373BD196">
      <w:pPr>
        <w:pStyle w:val="5"/>
        <w:keepNext w:val="0"/>
        <w:keepLines w:val="0"/>
        <w:numPr>
          <w:ilvl w:val="0"/>
          <w:numId w:val="25"/>
        </w:numPr>
        <w:adjustRightInd w:val="0"/>
        <w:snapToGrid w:val="0"/>
        <w:spacing w:before="0" w:after="0" w:line="600" w:lineRule="exact"/>
        <w:ind w:firstLine="643" w:firstLineChars="200"/>
        <w:rPr>
          <w:rFonts w:eastAsia="楷体"/>
        </w:rPr>
      </w:pPr>
      <w:r>
        <w:rPr>
          <w:rFonts w:hint="eastAsia" w:eastAsia="楷体"/>
        </w:rPr>
        <w:t>精准布局创新基础设施</w:t>
      </w:r>
    </w:p>
    <w:p w14:paraId="144A074F">
      <w:pPr>
        <w:adjustRightInd w:val="0"/>
        <w:snapToGrid w:val="0"/>
        <w:spacing w:line="560" w:lineRule="exact"/>
        <w:ind w:firstLine="643" w:firstLineChars="200"/>
        <w:jc w:val="both"/>
        <w:rPr>
          <w:rFonts w:ascii="Times New Roman" w:hAnsi="Times New Roman" w:eastAsia="仿宋_GB2312"/>
          <w:spacing w:val="-4"/>
          <w:sz w:val="32"/>
          <w:szCs w:val="32"/>
        </w:rPr>
      </w:pPr>
      <w:r>
        <w:rPr>
          <w:rFonts w:hint="eastAsia" w:ascii="Times New Roman" w:hAnsi="Times New Roman" w:eastAsia="仿宋_GB2312"/>
          <w:b/>
          <w:sz w:val="32"/>
          <w:szCs w:val="32"/>
        </w:rPr>
        <w:t>建设</w:t>
      </w:r>
      <w:r>
        <w:rPr>
          <w:rFonts w:hint="eastAsia" w:ascii="Times New Roman" w:hAnsi="Times New Roman" w:eastAsia="仿宋_GB2312"/>
          <w:b/>
          <w:spacing w:val="-4"/>
          <w:sz w:val="32"/>
          <w:szCs w:val="32"/>
        </w:rPr>
        <w:t>产业创新示范园区。</w:t>
      </w:r>
      <w:r>
        <w:rPr>
          <w:rFonts w:hint="eastAsia" w:ascii="Times New Roman" w:hAnsi="Times New Roman" w:eastAsia="仿宋_GB2312"/>
          <w:spacing w:val="-4"/>
          <w:sz w:val="32"/>
          <w:szCs w:val="32"/>
        </w:rPr>
        <w:t>以各产业龙头企业和科研院所为创新源，</w:t>
      </w:r>
      <w:r>
        <w:rPr>
          <w:rFonts w:hint="eastAsia" w:ascii="Times New Roman" w:hAnsi="Times New Roman" w:eastAsia="仿宋_GB2312"/>
          <w:sz w:val="32"/>
          <w:szCs w:val="32"/>
        </w:rPr>
        <w:t>形成多</w:t>
      </w:r>
      <w:r>
        <w:rPr>
          <w:rFonts w:hint="eastAsia" w:ascii="Times New Roman" w:hAnsi="Times New Roman" w:eastAsia="仿宋_GB2312"/>
          <w:spacing w:val="-4"/>
          <w:sz w:val="32"/>
          <w:szCs w:val="32"/>
        </w:rPr>
        <w:t>主体、多类型、多层次技术研发创新平台体系。加强与国内外相关领域知名高校和科研院所合作，</w:t>
      </w:r>
      <w:r>
        <w:rPr>
          <w:rFonts w:hint="eastAsia" w:ascii="Times New Roman" w:hAnsi="Times New Roman" w:eastAsia="仿宋_GB2312"/>
          <w:sz w:val="32"/>
          <w:szCs w:val="32"/>
        </w:rPr>
        <w:t>加快混合动力轨道工程车辆研发，智能化轨道检测车辆研发等科研与技术成果的转化，</w:t>
      </w:r>
      <w:r>
        <w:rPr>
          <w:rFonts w:hint="eastAsia" w:ascii="Times New Roman" w:hAnsi="Times New Roman" w:eastAsia="仿宋_GB2312"/>
          <w:spacing w:val="-4"/>
          <w:sz w:val="32"/>
          <w:szCs w:val="32"/>
        </w:rPr>
        <w:t>建设智能网联汽车产业园，形成产学研深度融合的创新格局。</w:t>
      </w:r>
    </w:p>
    <w:p w14:paraId="4863CFDA">
      <w:pPr>
        <w:adjustRightInd w:val="0"/>
        <w:snapToGrid w:val="0"/>
        <w:spacing w:line="560" w:lineRule="exact"/>
        <w:ind w:firstLine="643" w:firstLineChars="200"/>
        <w:jc w:val="both"/>
        <w:rPr>
          <w:rFonts w:ascii="Times New Roman" w:hAnsi="Times New Roman" w:eastAsia="仿宋_GB2312"/>
          <w:sz w:val="32"/>
          <w:szCs w:val="32"/>
        </w:rPr>
      </w:pPr>
      <w:r>
        <w:rPr>
          <w:rFonts w:hint="eastAsia" w:ascii="Times New Roman" w:hAnsi="Times New Roman" w:eastAsia="仿宋_GB2312"/>
          <w:b/>
          <w:sz w:val="32"/>
          <w:szCs w:val="32"/>
        </w:rPr>
        <w:t>打造应用试验基地。</w:t>
      </w:r>
      <w:r>
        <w:rPr>
          <w:rFonts w:hint="eastAsia" w:ascii="仿宋_GB2312" w:hAnsi="仿宋_GB2312" w:eastAsia="仿宋_GB2312" w:cs="仿宋_GB2312"/>
          <w:sz w:val="32"/>
          <w:szCs w:val="32"/>
        </w:rPr>
        <w:t>以科研院所牵头，高校和龙头企业协同参与的模式，打造5G、智能网联汽车、区块链等复杂场景的应用试验基地，提质发展环大学创新生态圈，支持建设高质量、规模化、专业型科技企业孵化器，促进孵化平台、投资机构和服务机构互动协同，提升科技企业孵化绩效。</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21485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0D10DB09">
            <w:pPr>
              <w:jc w:val="center"/>
              <w:rPr>
                <w:rFonts w:ascii="Times New Roman" w:hAnsi="Times New Roman" w:eastAsia="黑体"/>
                <w:sz w:val="28"/>
                <w:szCs w:val="28"/>
              </w:rPr>
            </w:pPr>
            <w:r>
              <w:rPr>
                <w:rFonts w:hint="eastAsia" w:ascii="Times New Roman" w:hAnsi="Times New Roman" w:eastAsia="黑体"/>
                <w:sz w:val="28"/>
                <w:szCs w:val="28"/>
              </w:rPr>
              <w:t>专栏19</w:t>
            </w:r>
            <w:r>
              <w:rPr>
                <w:rFonts w:ascii="Times New Roman" w:hAnsi="Times New Roman" w:eastAsia="黑体"/>
                <w:sz w:val="28"/>
                <w:szCs w:val="28"/>
              </w:rPr>
              <w:t xml:space="preserve">  </w:t>
            </w:r>
            <w:r>
              <w:rPr>
                <w:rFonts w:hint="eastAsia" w:ascii="Times New Roman" w:hAnsi="Times New Roman" w:eastAsia="黑体"/>
                <w:sz w:val="28"/>
                <w:szCs w:val="28"/>
              </w:rPr>
              <w:t>新基建重大项目</w:t>
            </w:r>
          </w:p>
        </w:tc>
      </w:tr>
      <w:tr w14:paraId="3C935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6A3B8FC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1.蟠龙高新区智能网联汽车示范区。</w:t>
            </w:r>
            <w:r>
              <w:rPr>
                <w:rFonts w:hint="eastAsia" w:ascii="仿宋_GB2312" w:hAnsi="仿宋_GB2312" w:eastAsia="仿宋_GB2312" w:cs="仿宋_GB2312"/>
                <w:sz w:val="28"/>
                <w:szCs w:val="28"/>
              </w:rPr>
              <w:t>提升部分主要路段市政道路地面地磁检测及路测设备单元等感知系统改造；5G信号基站及配套设施建设；搭建大数据平台；在重点功能区实现智慧环卫车、无人公交小巴及智慧物流配送车覆盖等，投资约</w:t>
            </w:r>
            <w:r>
              <w:rPr>
                <w:rFonts w:ascii="仿宋_GB2312" w:hAnsi="仿宋_GB2312" w:eastAsia="仿宋_GB2312" w:cs="仿宋_GB2312"/>
                <w:sz w:val="28"/>
                <w:szCs w:val="28"/>
              </w:rPr>
              <w:t>3</w:t>
            </w:r>
            <w:r>
              <w:rPr>
                <w:rFonts w:hint="eastAsia" w:ascii="仿宋_GB2312" w:hAnsi="仿宋_GB2312" w:eastAsia="仿宋_GB2312" w:cs="仿宋_GB2312"/>
                <w:sz w:val="28"/>
                <w:szCs w:val="28"/>
              </w:rPr>
              <w:t>亿元。</w:t>
            </w:r>
          </w:p>
          <w:p w14:paraId="3B58698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2.金台区新型智慧城市建设项目。</w:t>
            </w:r>
            <w:r>
              <w:rPr>
                <w:rFonts w:hint="eastAsia" w:ascii="仿宋_GB2312" w:hAnsi="仿宋_GB2312" w:eastAsia="仿宋_GB2312" w:cs="仿宋_GB2312"/>
                <w:sz w:val="28"/>
                <w:szCs w:val="28"/>
              </w:rPr>
              <w:t>构建智慧</w:t>
            </w:r>
            <w:r>
              <w:rPr>
                <w:rFonts w:ascii="仿宋_GB2312" w:hAnsi="仿宋_GB2312" w:eastAsia="仿宋_GB2312" w:cs="仿宋_GB2312"/>
                <w:sz w:val="28"/>
                <w:szCs w:val="28"/>
              </w:rPr>
              <w:t>基础设施、</w:t>
            </w:r>
            <w:r>
              <w:rPr>
                <w:rFonts w:hint="eastAsia" w:ascii="仿宋_GB2312" w:hAnsi="仿宋_GB2312" w:eastAsia="仿宋_GB2312" w:cs="仿宋_GB2312"/>
                <w:sz w:val="28"/>
                <w:szCs w:val="28"/>
              </w:rPr>
              <w:t>智慧城市综合管理平台，智慧政务平台、智慧产业平台、数据融合应用平台、金融科技服务平台，创新应用展厅等，投资约20亿元。</w:t>
            </w:r>
          </w:p>
          <w:p w14:paraId="241AE0BE">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3.金台区新能源汽车充电桩项目。</w:t>
            </w:r>
            <w:r>
              <w:rPr>
                <w:rFonts w:hint="eastAsia" w:ascii="仿宋_GB2312" w:hAnsi="仿宋_GB2312" w:eastAsia="仿宋_GB2312" w:cs="仿宋_GB2312"/>
                <w:sz w:val="28"/>
                <w:szCs w:val="28"/>
              </w:rPr>
              <w:t>新建新能源充电站、充电桩及新能源充电终端，建设充电网络云平台，投资约6亿元。</w:t>
            </w:r>
          </w:p>
          <w:p w14:paraId="3E9F40B0">
            <w:pPr>
              <w:adjustRightInd w:val="0"/>
              <w:snapToGrid w:val="0"/>
              <w:spacing w:line="400" w:lineRule="exact"/>
              <w:ind w:firstLine="551" w:firstLineChars="196"/>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4.金台区工业互联网平台。</w:t>
            </w:r>
            <w:r>
              <w:rPr>
                <w:rFonts w:hint="eastAsia" w:ascii="仿宋_GB2312" w:hAnsi="仿宋_GB2312" w:eastAsia="仿宋_GB2312" w:cs="仿宋_GB2312"/>
                <w:sz w:val="28"/>
                <w:szCs w:val="28"/>
              </w:rPr>
              <w:t>建设工业互联网平台，包含设计、采购、制造、服务、管理、营销等方面，投资约3.5亿元。</w:t>
            </w:r>
          </w:p>
          <w:p w14:paraId="78847D26">
            <w:pPr>
              <w:adjustRightInd w:val="0"/>
              <w:snapToGrid w:val="0"/>
              <w:spacing w:line="400" w:lineRule="exact"/>
              <w:ind w:firstLine="551" w:firstLineChars="196"/>
              <w:jc w:val="both"/>
              <w:rPr>
                <w:rFonts w:ascii="Times New Roman" w:hAnsi="Times New Roman" w:eastAsia="仿宋_GB2312"/>
                <w:sz w:val="28"/>
                <w:szCs w:val="28"/>
              </w:rPr>
            </w:pPr>
            <w:r>
              <w:rPr>
                <w:rFonts w:hint="eastAsia" w:ascii="仿宋_GB2312" w:hAnsi="仿宋_GB2312" w:eastAsia="仿宋_GB2312" w:cs="仿宋_GB2312"/>
                <w:b/>
                <w:sz w:val="28"/>
                <w:szCs w:val="28"/>
              </w:rPr>
              <w:t>5.蟠龙高新区充（换）电站建设项目。</w:t>
            </w:r>
            <w:r>
              <w:rPr>
                <w:rFonts w:hint="eastAsia" w:ascii="仿宋_GB2312" w:hAnsi="仿宋_GB2312" w:eastAsia="仿宋_GB2312" w:cs="仿宋_GB2312"/>
                <w:sz w:val="28"/>
                <w:szCs w:val="28"/>
              </w:rPr>
              <w:t>建设新能源汽车、公交车充（换）电站5座，建设内容包含充电桩、管理用房、公交调度室、停车场及相关配套设施等，投资约5亿元。</w:t>
            </w:r>
          </w:p>
        </w:tc>
      </w:tr>
    </w:tbl>
    <w:p w14:paraId="3F608FC8">
      <w:pPr>
        <w:rPr>
          <w:rFonts w:ascii="Times New Roman" w:hAnsi="Times New Roman"/>
        </w:rPr>
        <w:sectPr>
          <w:pgSz w:w="11907" w:h="16840"/>
          <w:pgMar w:top="1440" w:right="1474" w:bottom="1440" w:left="1588" w:header="851" w:footer="992" w:gutter="0"/>
          <w:cols w:space="425" w:num="1"/>
          <w:docGrid w:linePitch="312" w:charSpace="0"/>
        </w:sectPr>
      </w:pPr>
    </w:p>
    <w:p w14:paraId="4B781013">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31" w:name="_Toc50988331"/>
      <w:bookmarkStart w:id="232" w:name="_Toc50988079"/>
      <w:bookmarkStart w:id="233" w:name="_Toc50710115"/>
      <w:bookmarkStart w:id="234" w:name="_Toc66442989"/>
      <w:bookmarkStart w:id="235" w:name="_Toc49276066"/>
      <w:bookmarkStart w:id="236" w:name="_Toc53863310"/>
      <w:r>
        <w:rPr>
          <w:rFonts w:hint="eastAsia" w:eastAsia="方正小标宋简体"/>
          <w:b w:val="0"/>
          <w:iCs/>
          <w:kern w:val="2"/>
          <w:sz w:val="36"/>
          <w:szCs w:val="36"/>
        </w:rPr>
        <w:t>加强生态文明</w:t>
      </w:r>
      <w:bookmarkEnd w:id="204"/>
      <w:bookmarkEnd w:id="205"/>
      <w:r>
        <w:rPr>
          <w:rFonts w:hint="eastAsia" w:eastAsia="方正小标宋简体"/>
          <w:b w:val="0"/>
          <w:iCs/>
          <w:kern w:val="2"/>
          <w:sz w:val="36"/>
          <w:szCs w:val="36"/>
        </w:rPr>
        <w:t>建设，谱写绿色发展新篇章</w:t>
      </w:r>
      <w:bookmarkEnd w:id="206"/>
      <w:bookmarkEnd w:id="231"/>
      <w:bookmarkEnd w:id="232"/>
      <w:bookmarkEnd w:id="233"/>
      <w:bookmarkEnd w:id="234"/>
      <w:bookmarkEnd w:id="235"/>
      <w:bookmarkEnd w:id="236"/>
    </w:p>
    <w:p w14:paraId="6FEFD73C">
      <w:pPr>
        <w:adjustRightInd w:val="0"/>
        <w:snapToGrid w:val="0"/>
        <w:spacing w:line="560" w:lineRule="exact"/>
        <w:ind w:firstLine="640" w:firstLineChars="200"/>
        <w:jc w:val="both"/>
        <w:rPr>
          <w:rFonts w:ascii="Times New Roman" w:hAnsi="Times New Roman" w:eastAsia="仿宋_GB2312"/>
          <w:spacing w:val="-4"/>
          <w:sz w:val="32"/>
          <w:szCs w:val="32"/>
        </w:rPr>
      </w:pPr>
      <w:r>
        <w:rPr>
          <w:rFonts w:hint="eastAsia" w:ascii="Times New Roman" w:hAnsi="Times New Roman" w:eastAsia="仿宋_GB2312" w:cs="宋体"/>
          <w:kern w:val="0"/>
          <w:sz w:val="32"/>
          <w:szCs w:val="32"/>
        </w:rPr>
        <w:t>构建绿色生态体系，加强生态建设保护和资源节约集约利用，</w:t>
      </w:r>
      <w:r>
        <w:rPr>
          <w:rFonts w:hint="eastAsia" w:ascii="Times New Roman" w:hAnsi="Times New Roman" w:eastAsia="仿宋_GB2312" w:cs="宋体"/>
          <w:spacing w:val="-4"/>
          <w:kern w:val="0"/>
          <w:sz w:val="32"/>
          <w:szCs w:val="32"/>
        </w:rPr>
        <w:t>推动形成绿色发展方式和生活方式，促进人与自然和谐共生，促进经济社会发展全面绿色转型，创建</w:t>
      </w:r>
      <w:r>
        <w:rPr>
          <w:rFonts w:hint="eastAsia" w:ascii="Times New Roman" w:hAnsi="Times New Roman" w:eastAsia="仿宋_GB2312"/>
          <w:spacing w:val="-4"/>
          <w:sz w:val="32"/>
          <w:szCs w:val="32"/>
        </w:rPr>
        <w:t>国家生态文明建设示范区。</w:t>
      </w:r>
    </w:p>
    <w:p w14:paraId="48785FB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37" w:name="_Toc50710116"/>
      <w:bookmarkStart w:id="238" w:name="_Toc53863311"/>
      <w:bookmarkStart w:id="239" w:name="_Toc50988332"/>
      <w:bookmarkStart w:id="240" w:name="_Toc66442990"/>
      <w:bookmarkStart w:id="241" w:name="_Toc50988080"/>
      <w:r>
        <w:rPr>
          <w:rFonts w:hint="eastAsia" w:ascii="Times New Roman" w:hAnsi="Times New Roman" w:cs="宋体"/>
          <w:bCs w:val="0"/>
          <w:sz w:val="32"/>
          <w:szCs w:val="24"/>
        </w:rPr>
        <w:t>第一节 建立健全绿色生态体系</w:t>
      </w:r>
      <w:bookmarkEnd w:id="237"/>
      <w:bookmarkEnd w:id="238"/>
      <w:bookmarkEnd w:id="239"/>
      <w:bookmarkEnd w:id="240"/>
      <w:bookmarkEnd w:id="241"/>
    </w:p>
    <w:p w14:paraId="569AC1A6">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构筑生态网络格局</w:t>
      </w:r>
    </w:p>
    <w:p w14:paraId="324EF497">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加强生态建设和保护，强化生态本底优势，</w:t>
      </w:r>
      <w:r>
        <w:rPr>
          <w:rFonts w:hint="eastAsia" w:ascii="Times New Roman" w:hAnsi="Times New Roman" w:eastAsia="仿宋_GB2312" w:cs="仿宋_GB2312"/>
          <w:sz w:val="32"/>
          <w:szCs w:val="32"/>
        </w:rPr>
        <w:t>按照《国务院办公厅关于坚决制止耕地“非农化”行为的通知》的要求，高标准高质量推进城市绿道建设，</w:t>
      </w:r>
      <w:r>
        <w:rPr>
          <w:rFonts w:hint="eastAsia" w:ascii="Times New Roman" w:hAnsi="Times New Roman" w:eastAsia="仿宋_GB2312" w:cs="宋体"/>
          <w:kern w:val="0"/>
          <w:sz w:val="32"/>
          <w:szCs w:val="32"/>
        </w:rPr>
        <w:t>全面构建“双环五廊三绿道”的生态网络格局，将“山、水、田、塬、林”连成有机整体。</w:t>
      </w:r>
    </w:p>
    <w:p w14:paraId="49B4B93D">
      <w:pPr>
        <w:adjustRightInd w:val="0"/>
        <w:snapToGrid w:val="0"/>
        <w:jc w:val="center"/>
        <w:rPr>
          <w:rFonts w:ascii="Times New Roman" w:hAnsi="Times New Roman" w:eastAsia="仿宋_GB2312" w:cs="宋体"/>
          <w:kern w:val="0"/>
          <w:sz w:val="32"/>
          <w:szCs w:val="32"/>
        </w:rPr>
      </w:pPr>
      <w:r>
        <w:rPr>
          <w:rFonts w:ascii="Times New Roman" w:hAnsi="Times New Roman" w:eastAsia="仿宋_GB2312" w:cs="宋体"/>
          <w:kern w:val="0"/>
          <w:sz w:val="32"/>
          <w:szCs w:val="32"/>
        </w:rPr>
        <w:drawing>
          <wp:inline distT="0" distB="0" distL="0" distR="0">
            <wp:extent cx="5378450" cy="297815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noChangeArrowheads="1"/>
                    </pic:cNvPicPr>
                  </pic:nvPicPr>
                  <pic:blipFill>
                    <a:blip r:embed="rId14">
                      <a:extLst>
                        <a:ext uri="{28A0092B-C50C-407E-A947-70E740481C1C}">
                          <a14:useLocalDpi xmlns:a14="http://schemas.microsoft.com/office/drawing/2010/main" val="0"/>
                        </a:ext>
                      </a:extLst>
                    </a:blip>
                    <a:srcRect l="2083" t="8508" r="938" b="14481"/>
                    <a:stretch>
                      <a:fillRect/>
                    </a:stretch>
                  </pic:blipFill>
                  <pic:spPr>
                    <a:xfrm>
                      <a:off x="0" y="0"/>
                      <a:ext cx="5378450" cy="2978150"/>
                    </a:xfrm>
                    <a:prstGeom prst="rect">
                      <a:avLst/>
                    </a:prstGeom>
                    <a:noFill/>
                    <a:ln>
                      <a:noFill/>
                    </a:ln>
                  </pic:spPr>
                </pic:pic>
              </a:graphicData>
            </a:graphic>
          </wp:inline>
        </w:drawing>
      </w:r>
    </w:p>
    <w:p w14:paraId="07FCB87D">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图11-1 金台区“十四五” 生态网络格局图</w:t>
      </w:r>
    </w:p>
    <w:p w14:paraId="6B64691F">
      <w:pPr>
        <w:pStyle w:val="8"/>
      </w:pPr>
    </w:p>
    <w:p w14:paraId="1AF7E907">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双环。</w:t>
      </w:r>
      <w:r>
        <w:rPr>
          <w:rFonts w:hint="eastAsia" w:ascii="Times New Roman" w:hAnsi="Times New Roman" w:eastAsia="仿宋_GB2312" w:cs="宋体"/>
          <w:kern w:val="0"/>
          <w:sz w:val="32"/>
          <w:szCs w:val="32"/>
        </w:rPr>
        <w:t>蟠龙塬塬坡、北绕城和北坡，金陵河、渭河、千河形成的两个生态绿环。</w:t>
      </w:r>
    </w:p>
    <w:p w14:paraId="3B1E6FB2">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五廊。</w:t>
      </w:r>
      <w:r>
        <w:rPr>
          <w:rFonts w:hint="eastAsia" w:ascii="Times New Roman" w:hAnsi="Times New Roman" w:eastAsia="仿宋_GB2312" w:cs="宋体"/>
          <w:kern w:val="0"/>
          <w:sz w:val="32"/>
          <w:szCs w:val="32"/>
        </w:rPr>
        <w:t>渭河、金陵河、六川河、硖石河、玉涧河形成的</w:t>
      </w:r>
      <w:r>
        <w:rPr>
          <w:rFonts w:ascii="Times New Roman" w:hAnsi="Times New Roman" w:eastAsia="仿宋_GB2312" w:cs="宋体"/>
          <w:kern w:val="0"/>
          <w:sz w:val="32"/>
          <w:szCs w:val="32"/>
        </w:rPr>
        <w:t>5</w:t>
      </w:r>
      <w:r>
        <w:rPr>
          <w:rFonts w:hint="eastAsia" w:ascii="Times New Roman" w:hAnsi="Times New Roman" w:eastAsia="仿宋_GB2312" w:cs="宋体"/>
          <w:kern w:val="0"/>
          <w:sz w:val="32"/>
          <w:szCs w:val="32"/>
        </w:rPr>
        <w:t>条生态廊道。</w:t>
      </w:r>
    </w:p>
    <w:p w14:paraId="586556D5">
      <w:pPr>
        <w:widowControl w:val="0"/>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三绿道。</w:t>
      </w:r>
      <w:r>
        <w:rPr>
          <w:rFonts w:hint="eastAsia" w:ascii="Times New Roman" w:hAnsi="Times New Roman" w:eastAsia="仿宋_GB2312" w:cs="宋体"/>
          <w:kern w:val="0"/>
          <w:sz w:val="32"/>
          <w:szCs w:val="32"/>
        </w:rPr>
        <w:t>蟠龙高新区龙源大道、龙池大道中间，龙翔大道、西坪大道中间，龙川路两侧形成的三条城市绿道。</w:t>
      </w:r>
    </w:p>
    <w:p w14:paraId="2BEBA23B">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提升城市绿化水平</w:t>
      </w:r>
    </w:p>
    <w:p w14:paraId="20A2B160">
      <w:pPr>
        <w:keepNext/>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蟠龙高新区以公园城市、主城区以园林城市建设为目标，提升全域园林绿化水平。建设蟠龙高新区城市运动公园、升级代家湾生态公园。通过社区公园、生态公园、口袋公园、生态农田构建公园体系，形成“林在园中、园在城中”的生态布局。注重立体空间绿化建设，加强小区绿地、休闲空间建设，优化人居环境，巩固提升绿色宝鸡园林化建设水平。2025年城市建成区绿化覆盖率达到49.6%。</w:t>
      </w:r>
    </w:p>
    <w:p w14:paraId="5AE85661">
      <w:pPr>
        <w:pStyle w:val="5"/>
        <w:keepNext w:val="0"/>
        <w:keepLines w:val="0"/>
        <w:numPr>
          <w:ilvl w:val="0"/>
          <w:numId w:val="26"/>
        </w:numPr>
        <w:adjustRightInd w:val="0"/>
        <w:snapToGrid w:val="0"/>
        <w:spacing w:before="0" w:after="0" w:line="600" w:lineRule="exact"/>
        <w:ind w:firstLine="643" w:firstLineChars="200"/>
        <w:rPr>
          <w:rFonts w:eastAsia="楷体"/>
        </w:rPr>
      </w:pPr>
      <w:r>
        <w:rPr>
          <w:rFonts w:hint="eastAsia" w:eastAsia="楷体"/>
        </w:rPr>
        <w:t>加快制造业绿色低碳发展</w:t>
      </w:r>
    </w:p>
    <w:p w14:paraId="73E06826">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在制造业领域全部取缔燃煤锅炉，全面淘汰落后产能，全面整治企业污水、废气无序排放，逐步在全区制造业中开展能源审计，清洁生产审核。组织实施能源系统优化，电机系统节能，绿色照明等重点节能改造专项工程，实施重点用能设备更新改造。清退“僵尸企业”，淘汰用能落后及占地无力开发企业。</w:t>
      </w:r>
    </w:p>
    <w:p w14:paraId="3CF25C6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42" w:name="_Toc43823172"/>
      <w:bookmarkStart w:id="243" w:name="_Toc50988333"/>
      <w:bookmarkStart w:id="244" w:name="_Toc66442991"/>
      <w:bookmarkStart w:id="245" w:name="_Toc43823027"/>
      <w:bookmarkStart w:id="246" w:name="_Toc50710117"/>
      <w:bookmarkStart w:id="247" w:name="_Toc49276067"/>
      <w:bookmarkStart w:id="248" w:name="_Toc53863312"/>
      <w:bookmarkStart w:id="249" w:name="_Toc50988081"/>
      <w:r>
        <w:rPr>
          <w:rFonts w:hint="eastAsia" w:ascii="Times New Roman" w:hAnsi="Times New Roman" w:cs="宋体"/>
          <w:bCs w:val="0"/>
          <w:sz w:val="32"/>
          <w:szCs w:val="24"/>
        </w:rPr>
        <w:t>第二节</w:t>
      </w:r>
      <w:r>
        <w:rPr>
          <w:rFonts w:ascii="Times New Roman" w:hAnsi="Times New Roman" w:cs="宋体"/>
          <w:bCs w:val="0"/>
          <w:sz w:val="32"/>
          <w:szCs w:val="24"/>
        </w:rPr>
        <w:t xml:space="preserve"> </w:t>
      </w:r>
      <w:r>
        <w:rPr>
          <w:rFonts w:hint="eastAsia" w:ascii="Times New Roman" w:hAnsi="Times New Roman" w:cs="宋体"/>
          <w:bCs w:val="0"/>
          <w:sz w:val="32"/>
          <w:szCs w:val="24"/>
        </w:rPr>
        <w:t>创建生态文明示范区</w:t>
      </w:r>
      <w:bookmarkEnd w:id="242"/>
      <w:bookmarkEnd w:id="243"/>
      <w:bookmarkEnd w:id="244"/>
      <w:bookmarkEnd w:id="245"/>
      <w:bookmarkEnd w:id="246"/>
      <w:bookmarkEnd w:id="247"/>
      <w:bookmarkEnd w:id="248"/>
      <w:bookmarkEnd w:id="249"/>
    </w:p>
    <w:p w14:paraId="6E8A4FFF">
      <w:pPr>
        <w:widowControl w:val="0"/>
        <w:adjustRightInd w:val="0"/>
        <w:snapToGrid w:val="0"/>
        <w:spacing w:line="560"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将生态文明建设摆在全区各项工作的突出位置，不断深化对生态环境保护的认识，全面落实生态文明建设空间布局，严守生态保护红线，严守耕地红线，完善河湖岸线保护，推动生态文明建设事业长足发展。高标准建设生态经济、生态空间、生态环境、生态生活、生态文化、生态制度等六大生态文明体系，创建国家生态文明建设示范区。</w:t>
      </w:r>
    </w:p>
    <w:p w14:paraId="7437ADF8">
      <w:pPr>
        <w:pStyle w:val="8"/>
        <w:rPr>
          <w:rFonts w:ascii="Times New Roman" w:hAnsi="Times New Roman"/>
        </w:rPr>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366A7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6705FDE">
            <w:pPr>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0</w:t>
            </w:r>
            <w:r>
              <w:rPr>
                <w:rFonts w:ascii="Times New Roman" w:hAnsi="Times New Roman" w:eastAsia="黑体"/>
                <w:sz w:val="28"/>
                <w:szCs w:val="28"/>
              </w:rPr>
              <w:t xml:space="preserve">  </w:t>
            </w:r>
            <w:r>
              <w:rPr>
                <w:rFonts w:hint="eastAsia" w:ascii="Times New Roman" w:hAnsi="Times New Roman" w:eastAsia="黑体"/>
                <w:sz w:val="28"/>
                <w:szCs w:val="28"/>
              </w:rPr>
              <w:t>生态文明六大体系</w:t>
            </w:r>
          </w:p>
        </w:tc>
      </w:tr>
      <w:tr w14:paraId="65DDA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384EBD30">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1.生态经济体系建设。</w:t>
            </w:r>
            <w:r>
              <w:rPr>
                <w:rFonts w:hint="eastAsia" w:ascii="仿宋_GB2312" w:hAnsi="仿宋_GB2312" w:eastAsia="仿宋_GB2312" w:cs="仿宋_GB2312"/>
                <w:sz w:val="28"/>
                <w:szCs w:val="28"/>
              </w:rPr>
              <w:t>强化产业发展中的环境治理改善，建立可持续发展的人口、环境、资源与经济社会体系。把“循环经济”贯穿于工业化、城市化、农业产业化进程中，大力发展生态农业、生态工业、生态型第三产业。</w:t>
            </w:r>
          </w:p>
          <w:p w14:paraId="6AD61C5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2.生态空间体系建设。</w:t>
            </w:r>
            <w:r>
              <w:rPr>
                <w:rFonts w:hint="eastAsia" w:ascii="仿宋_GB2312" w:hAnsi="仿宋_GB2312" w:eastAsia="仿宋_GB2312" w:cs="仿宋_GB2312"/>
                <w:sz w:val="28"/>
                <w:szCs w:val="28"/>
              </w:rPr>
              <w:t>正确处理“三生”关系，优化土地利用布局，加强耕地保护，节约用地。优化水资源配置，推进节约用水。严格落实主体功能区定位，严格遵守生态保护红线，形成人与自然和谐发展的生态文明新格局。</w:t>
            </w:r>
          </w:p>
          <w:p w14:paraId="5894DF86">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3.生态环境体系建设。</w:t>
            </w:r>
            <w:r>
              <w:rPr>
                <w:rFonts w:hint="eastAsia" w:ascii="仿宋_GB2312" w:hAnsi="仿宋_GB2312" w:eastAsia="仿宋_GB2312" w:cs="仿宋_GB2312"/>
                <w:sz w:val="28"/>
                <w:szCs w:val="28"/>
              </w:rPr>
              <w:t>坚决打赢</w:t>
            </w:r>
            <w:r>
              <w:rPr>
                <w:rFonts w:hint="eastAsia" w:ascii="仿宋_GB2312" w:hAnsi="仿宋_GB2312" w:eastAsia="仿宋_GB2312" w:cs="仿宋_GB2312"/>
                <w:sz w:val="28"/>
                <w:szCs w:val="28"/>
                <w:lang w:eastAsia="zh-CN"/>
              </w:rPr>
              <w:t>蓝天、碧水、净土</w:t>
            </w:r>
            <w:r>
              <w:rPr>
                <w:rFonts w:hint="eastAsia" w:ascii="仿宋_GB2312" w:hAnsi="仿宋_GB2312" w:eastAsia="仿宋_GB2312" w:cs="仿宋_GB2312"/>
                <w:sz w:val="28"/>
                <w:szCs w:val="28"/>
              </w:rPr>
              <w:t>青山四大保卫战，严格控制细颗粒物浓度，城市空气质量优良天数比率，地表水水体比例，二氧化硫、氮氧化物排放量，化学需氧量、氨氮排放量，受污染耕地安全利用率，生态保护红线面积，森林覆盖率等指标。健全监测监控网络及应急响应网络。</w:t>
            </w:r>
          </w:p>
          <w:p w14:paraId="12BC088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4.生态生活体系建设。</w:t>
            </w:r>
            <w:r>
              <w:rPr>
                <w:rFonts w:hint="eastAsia" w:ascii="仿宋_GB2312" w:hAnsi="仿宋_GB2312" w:eastAsia="仿宋_GB2312" w:cs="仿宋_GB2312"/>
                <w:spacing w:val="-2"/>
                <w:sz w:val="28"/>
                <w:szCs w:val="28"/>
              </w:rPr>
              <w:t>利用现有的优良环境和深厚的文化底蕴，统筹协调推进，实现人口规模适度、人居环境优化、生态意识普及，创建布局合理、舒适度好、城乡生态功能显著的最佳人居环境</w:t>
            </w:r>
            <w:r>
              <w:rPr>
                <w:rFonts w:hint="eastAsia" w:ascii="仿宋_GB2312" w:hAnsi="仿宋_GB2312" w:eastAsia="仿宋_GB2312" w:cs="仿宋_GB2312"/>
                <w:sz w:val="28"/>
                <w:szCs w:val="28"/>
              </w:rPr>
              <w:t>。</w:t>
            </w:r>
          </w:p>
          <w:p w14:paraId="77E9637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5.生态文化体系建设。</w:t>
            </w:r>
            <w:r>
              <w:rPr>
                <w:rFonts w:hint="eastAsia" w:ascii="仿宋_GB2312" w:hAnsi="仿宋_GB2312" w:eastAsia="仿宋_GB2312" w:cs="仿宋_GB2312"/>
                <w:sz w:val="28"/>
                <w:szCs w:val="28"/>
              </w:rPr>
              <w:t>提高公共文化服务体系水平，推进文化事业繁荣发展，最大限度发挥文化引导社会、教育人民的功能，推动文化建设与经济、政治、社会、生态文明建设同步协调发展，提升金台文化软实力，满足人民群众日益增长的文化需求。</w:t>
            </w:r>
          </w:p>
          <w:p w14:paraId="4F6F96C9">
            <w:pPr>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6.生态制度体系建设。</w:t>
            </w:r>
            <w:r>
              <w:rPr>
                <w:rFonts w:hint="eastAsia" w:ascii="仿宋_GB2312" w:hAnsi="仿宋_GB2312" w:eastAsia="仿宋_GB2312" w:cs="仿宋_GB2312"/>
                <w:sz w:val="28"/>
                <w:szCs w:val="28"/>
              </w:rPr>
              <w:t>严格执行水功能区监督管理、地下水保护管理、网格化环境监管制度，建立生态文明建设考核制度，健全生态环境损害责任追究制度。</w:t>
            </w:r>
          </w:p>
        </w:tc>
      </w:tr>
    </w:tbl>
    <w:p w14:paraId="2F83FDC0">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50" w:name="_Toc49276068"/>
      <w:bookmarkStart w:id="251" w:name="_Toc43823029"/>
      <w:bookmarkStart w:id="252" w:name="_Toc50988082"/>
      <w:bookmarkStart w:id="253" w:name="_Toc53863313"/>
      <w:bookmarkStart w:id="254" w:name="_Toc42610410"/>
      <w:bookmarkStart w:id="255" w:name="_Toc41854974"/>
      <w:bookmarkStart w:id="256" w:name="_Toc43823174"/>
      <w:bookmarkStart w:id="257" w:name="_Toc50710118"/>
      <w:bookmarkStart w:id="258" w:name="_Toc42100113"/>
      <w:bookmarkStart w:id="259" w:name="_Toc50988334"/>
      <w:bookmarkStart w:id="260" w:name="_Toc66442992"/>
      <w:r>
        <w:rPr>
          <w:rFonts w:hint="eastAsia" w:ascii="Times New Roman" w:hAnsi="Times New Roman" w:cs="宋体"/>
          <w:bCs w:val="0"/>
          <w:sz w:val="32"/>
          <w:szCs w:val="24"/>
        </w:rPr>
        <w:t>第三节</w:t>
      </w:r>
      <w:r>
        <w:rPr>
          <w:rFonts w:ascii="Times New Roman" w:hAnsi="Times New Roman" w:cs="宋体"/>
          <w:bCs w:val="0"/>
          <w:sz w:val="32"/>
          <w:szCs w:val="24"/>
        </w:rPr>
        <w:t xml:space="preserve"> </w:t>
      </w:r>
      <w:bookmarkEnd w:id="250"/>
      <w:bookmarkEnd w:id="251"/>
      <w:bookmarkEnd w:id="252"/>
      <w:bookmarkEnd w:id="253"/>
      <w:bookmarkEnd w:id="254"/>
      <w:bookmarkEnd w:id="255"/>
      <w:bookmarkEnd w:id="256"/>
      <w:bookmarkEnd w:id="257"/>
      <w:bookmarkEnd w:id="258"/>
      <w:bookmarkEnd w:id="259"/>
      <w:r>
        <w:rPr>
          <w:rFonts w:hint="eastAsia" w:ascii="Times New Roman" w:hAnsi="Times New Roman" w:cs="宋体"/>
          <w:bCs w:val="0"/>
          <w:sz w:val="32"/>
          <w:szCs w:val="24"/>
        </w:rPr>
        <w:t>持续优化生态环境</w:t>
      </w:r>
      <w:bookmarkEnd w:id="260"/>
    </w:p>
    <w:p w14:paraId="267E4641">
      <w:pPr>
        <w:pStyle w:val="5"/>
        <w:keepNext w:val="0"/>
        <w:keepLines w:val="0"/>
        <w:adjustRightInd w:val="0"/>
        <w:snapToGrid w:val="0"/>
        <w:spacing w:before="0" w:after="0" w:line="600" w:lineRule="exact"/>
        <w:ind w:firstLine="643" w:firstLineChars="200"/>
        <w:rPr>
          <w:rFonts w:eastAsia="楷体"/>
        </w:rPr>
      </w:pPr>
      <w:r>
        <w:rPr>
          <w:rFonts w:hint="eastAsia" w:eastAsia="楷体"/>
        </w:rPr>
        <w:t>一、持续改善空气质量</w:t>
      </w:r>
    </w:p>
    <w:p w14:paraId="597842A0">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kern w:val="0"/>
          <w:sz w:val="32"/>
          <w:szCs w:val="32"/>
        </w:rPr>
        <w:t>加大落后产能淘汰和过剩产能压减力度，强化“散乱污”工</w:t>
      </w:r>
      <w:r>
        <w:rPr>
          <w:rFonts w:hint="eastAsia" w:ascii="仿宋_GB2312" w:hAnsi="仿宋_GB2312" w:eastAsia="仿宋_GB2312" w:cs="仿宋_GB2312"/>
          <w:kern w:val="0"/>
          <w:sz w:val="32"/>
          <w:szCs w:val="32"/>
        </w:rPr>
        <w:t>业企业综合整治，推进重点行业污染治理升级改造。开展秋冬季大气污染攻坚行动和夏季臭氧防控专项行动，加强高污染燃料禁燃区管理，控制煤炭消费总量，积极推进清洁取暖。做好机动车污染防治控制，加强施工扬尘监管，督促重点排放企业错峰生产，强化区域联防联控和重污染天气应对，推动大气综合治理常态化。到2025年，秸秆综合利用率达到96.6%，环境空气质量优良天数达到299天，细颗粒物（PM2.5)浓度下降到40微克/立方米，可吸入颗粒物（PM10）浓度明显下降，二氧化氮浓度上升和臭氧污染加重的趋势得到遏制。</w:t>
      </w:r>
    </w:p>
    <w:p w14:paraId="50A31265">
      <w:pPr>
        <w:pStyle w:val="5"/>
        <w:keepNext w:val="0"/>
        <w:keepLines w:val="0"/>
        <w:adjustRightInd w:val="0"/>
        <w:snapToGrid w:val="0"/>
        <w:spacing w:before="0" w:after="0" w:line="600" w:lineRule="exact"/>
        <w:ind w:firstLine="643" w:firstLineChars="200"/>
        <w:rPr>
          <w:rFonts w:eastAsia="楷体"/>
        </w:rPr>
      </w:pPr>
      <w:r>
        <w:rPr>
          <w:rFonts w:hint="eastAsia" w:eastAsia="楷体"/>
        </w:rPr>
        <w:t>二、持续治理水污染</w:t>
      </w:r>
    </w:p>
    <w:p w14:paraId="740CCEAD">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严格落实河长制、湖长制，持续推进“六水共治”，抓好渭河滩区美化、金陵河疏浚提升和玉涧河、六川河、硖石河、引渭渠综合治理。调整产业结构禁止新建扩建高耗水、高污染项目。开展农业农村面源污染防治专项行动，强化畜禽养殖污染控制。加大污染防治力度，提升支流水环境质量。完善城镇污水收集配套管网和村庄排水管网设施，加大农村改厕力度。加快工业集聚区治污设施建设，推进重点行业企业提升改造。加强初期雨水收集处理设施建设，减轻污水处理厂污水处理负荷。到2025年，城镇污水集中处理率达到90%以上，城镇污泥无害化处理率达到95%以上。</w:t>
      </w:r>
    </w:p>
    <w:p w14:paraId="78270ADF">
      <w:pPr>
        <w:pStyle w:val="5"/>
        <w:keepNext w:val="0"/>
        <w:keepLines w:val="0"/>
        <w:widowControl w:val="0"/>
        <w:adjustRightInd w:val="0"/>
        <w:snapToGrid w:val="0"/>
        <w:spacing w:before="0" w:after="0" w:line="600" w:lineRule="exact"/>
        <w:ind w:firstLine="643" w:firstLineChars="200"/>
        <w:rPr>
          <w:rFonts w:eastAsia="楷体"/>
        </w:rPr>
      </w:pPr>
      <w:bookmarkStart w:id="261" w:name="_Toc42100116"/>
      <w:bookmarkStart w:id="262" w:name="_Toc43823177"/>
      <w:bookmarkStart w:id="263" w:name="_Toc41854977"/>
      <w:bookmarkStart w:id="264" w:name="_Toc43823032"/>
      <w:bookmarkStart w:id="265" w:name="_Toc42610413"/>
      <w:r>
        <w:rPr>
          <w:rFonts w:hint="eastAsia" w:eastAsia="楷体"/>
        </w:rPr>
        <w:t>三、持续加强土壤防治</w:t>
      </w:r>
    </w:p>
    <w:p w14:paraId="2F517F97">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强土壤污染源头管控，健全土壤管理信息沟通机制，实现土壤污染防治联动监管。有效治理农业面源污染，推动农药化肥用量减化行动，建立畜禽粪污、农作物秸秆资源化综合利用和无害化处理体系。组织实施天然林保护、防护林退化林修复、森林抚育等林业重点工程，加大生态修复力度。制定生产生活垃圾的分类回收、资源化、无害化管理细则。到2025年，受污染地块安全利用率达到92%以上，工业固体废物综合利用率达到</w:t>
      </w:r>
      <w:r>
        <w:rPr>
          <w:rFonts w:ascii="仿宋_GB2312" w:hAnsi="仿宋_GB2312" w:eastAsia="仿宋_GB2312" w:cs="仿宋_GB2312"/>
          <w:kern w:val="0"/>
          <w:sz w:val="32"/>
          <w:szCs w:val="32"/>
        </w:rPr>
        <w:t>80</w:t>
      </w:r>
      <w:r>
        <w:rPr>
          <w:rFonts w:hint="eastAsia" w:ascii="仿宋_GB2312" w:hAnsi="仿宋_GB2312" w:eastAsia="仿宋_GB2312" w:cs="仿宋_GB2312"/>
          <w:kern w:val="0"/>
          <w:sz w:val="32"/>
          <w:szCs w:val="32"/>
        </w:rPr>
        <w:t>%以上，城镇生活垃圾无害化处理率达95%以上。</w:t>
      </w:r>
    </w:p>
    <w:bookmarkEnd w:id="261"/>
    <w:bookmarkEnd w:id="262"/>
    <w:bookmarkEnd w:id="263"/>
    <w:bookmarkEnd w:id="264"/>
    <w:bookmarkEnd w:id="265"/>
    <w:p w14:paraId="1B4C0FD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266" w:name="_Toc49276070"/>
      <w:bookmarkStart w:id="267" w:name="_Toc42100108"/>
      <w:bookmarkStart w:id="268" w:name="_Toc66442993"/>
      <w:bookmarkStart w:id="269" w:name="_Toc42610405"/>
      <w:bookmarkStart w:id="270" w:name="_Toc50710119"/>
      <w:bookmarkStart w:id="271" w:name="_Toc41854969"/>
      <w:bookmarkStart w:id="272" w:name="_Toc50988083"/>
      <w:bookmarkStart w:id="273" w:name="_Toc43823179"/>
      <w:bookmarkStart w:id="274" w:name="_Toc53863314"/>
      <w:bookmarkStart w:id="275" w:name="_Toc43823034"/>
      <w:bookmarkStart w:id="276" w:name="_Toc50988335"/>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加强资源集约高效利用</w:t>
      </w:r>
      <w:bookmarkEnd w:id="266"/>
      <w:bookmarkEnd w:id="267"/>
      <w:bookmarkEnd w:id="268"/>
      <w:bookmarkEnd w:id="269"/>
      <w:bookmarkEnd w:id="270"/>
      <w:bookmarkEnd w:id="271"/>
      <w:bookmarkEnd w:id="272"/>
      <w:bookmarkEnd w:id="273"/>
      <w:bookmarkEnd w:id="274"/>
      <w:bookmarkEnd w:id="275"/>
      <w:bookmarkEnd w:id="276"/>
    </w:p>
    <w:p w14:paraId="4627E7DB">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打造清洁能源城区</w:t>
      </w:r>
    </w:p>
    <w:p w14:paraId="68B59953">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推动全社会用能方式变革，实施全民节能行动计划，推广废弃物资源化利用，落实“生态</w:t>
      </w:r>
      <w:r>
        <w:rPr>
          <w:rFonts w:ascii="仿宋_GB2312" w:hAnsi="仿宋_GB2312" w:eastAsia="仿宋_GB2312" w:cs="仿宋_GB2312"/>
          <w:kern w:val="0"/>
          <w:sz w:val="32"/>
          <w:szCs w:val="32"/>
        </w:rPr>
        <w:t>+电力+储能”行动，在制造、建筑、生活等领域加大电力替代</w:t>
      </w:r>
      <w:r>
        <w:rPr>
          <w:rFonts w:hint="eastAsia" w:ascii="仿宋_GB2312" w:hAnsi="仿宋_GB2312" w:eastAsia="仿宋_GB2312" w:cs="仿宋_GB2312"/>
          <w:kern w:val="0"/>
          <w:sz w:val="32"/>
          <w:szCs w:val="32"/>
        </w:rPr>
        <w:t>。落实促进节能减排税收优惠政策，构建节能减排的长效机制。</w:t>
      </w:r>
      <w:r>
        <w:rPr>
          <w:rFonts w:ascii="Times New Roman" w:hAnsi="Times New Roman" w:eastAsia="仿宋_GB2312"/>
          <w:bCs/>
          <w:sz w:val="32"/>
          <w:szCs w:val="32"/>
        </w:rPr>
        <w:t>推进重点行业深度减排，鼓励企业实施清洁生产改造，推行清洁生产技术和污染排放综合控制。</w:t>
      </w:r>
      <w:r>
        <w:rPr>
          <w:rFonts w:hint="eastAsia" w:ascii="Times New Roman" w:hAnsi="Times New Roman" w:eastAsia="仿宋_GB2312"/>
          <w:bCs/>
          <w:sz w:val="32"/>
          <w:szCs w:val="32"/>
        </w:rPr>
        <w:t>制定2035</w:t>
      </w:r>
      <w:r>
        <w:rPr>
          <w:rFonts w:ascii="Times New Roman" w:hAnsi="Times New Roman" w:eastAsia="仿宋_GB2312"/>
          <w:bCs/>
          <w:sz w:val="32"/>
          <w:szCs w:val="32"/>
        </w:rPr>
        <w:t>年前碳排放达峰行动方案，控制碳排放总量和强度，推进碳中和工作。</w:t>
      </w:r>
      <w:r>
        <w:rPr>
          <w:rFonts w:hint="eastAsia" w:ascii="仿宋_GB2312" w:hAnsi="仿宋_GB2312" w:eastAsia="仿宋_GB2312" w:cs="仿宋_GB2312"/>
          <w:kern w:val="0"/>
          <w:sz w:val="32"/>
          <w:szCs w:val="32"/>
        </w:rPr>
        <w:t>到2025年，全区万元国内生产总值能耗比为0.24吨标煤/万元，化学需氧量、氨氮、二氧化硫、氮氧化物、挥发性有机物排放总量完成达标任务。</w:t>
      </w:r>
      <w:bookmarkStart w:id="277" w:name="_Toc42610407"/>
      <w:bookmarkStart w:id="278" w:name="_Toc41854971"/>
      <w:bookmarkStart w:id="279" w:name="_Toc42100110"/>
      <w:bookmarkStart w:id="280" w:name="_Toc43823036"/>
      <w:bookmarkStart w:id="281" w:name="_Toc43823181"/>
    </w:p>
    <w:p w14:paraId="0437001B">
      <w:pPr>
        <w:pStyle w:val="5"/>
        <w:keepNext w:val="0"/>
        <w:keepLines w:val="0"/>
        <w:numPr>
          <w:ilvl w:val="0"/>
          <w:numId w:val="27"/>
        </w:numPr>
        <w:adjustRightInd w:val="0"/>
        <w:snapToGrid w:val="0"/>
        <w:spacing w:before="0" w:after="0" w:line="600" w:lineRule="exact"/>
        <w:ind w:left="1361"/>
        <w:rPr>
          <w:rFonts w:eastAsia="楷体"/>
        </w:rPr>
      </w:pPr>
      <w:r>
        <w:rPr>
          <w:rFonts w:hint="eastAsia" w:eastAsia="楷体"/>
        </w:rPr>
        <w:t>加强资源集约高效利用</w:t>
      </w:r>
      <w:bookmarkEnd w:id="277"/>
      <w:bookmarkEnd w:id="278"/>
      <w:bookmarkEnd w:id="279"/>
      <w:bookmarkEnd w:id="280"/>
      <w:bookmarkEnd w:id="281"/>
    </w:p>
    <w:p w14:paraId="5AE30B94">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树立节约优先理念，在生产、流通、仓储、消费各个环节实施节约，构建资源总量管理和全面节约制度体系，形成有利于资源节约和高效利用的空间格局、产业结构、生产方式、消费模式。树立集约利用理念，注重内涵的资源利用模式，摒弃外延扩张的粗放利用模式，更加注重产出效率、集约效益和体制机制创新。创新资源利用政策，加强与投资、财税、信贷、环保等配套政策的联动，努力减少单位产出资源消耗，切实提高资源利用的综合效益。</w:t>
      </w:r>
    </w:p>
    <w:p w14:paraId="6C2675BD">
      <w:pPr>
        <w:pStyle w:val="5"/>
        <w:keepNext w:val="0"/>
        <w:keepLines w:val="0"/>
        <w:numPr>
          <w:ilvl w:val="0"/>
          <w:numId w:val="27"/>
        </w:numPr>
        <w:adjustRightInd w:val="0"/>
        <w:snapToGrid w:val="0"/>
        <w:spacing w:before="0" w:after="0" w:line="600" w:lineRule="exact"/>
        <w:ind w:left="1361"/>
        <w:rPr>
          <w:rFonts w:eastAsia="楷体"/>
        </w:rPr>
      </w:pPr>
      <w:bookmarkStart w:id="282" w:name="_Toc43823182"/>
      <w:bookmarkStart w:id="283" w:name="_Toc43823037"/>
      <w:bookmarkStart w:id="284" w:name="_Toc42610408"/>
      <w:bookmarkStart w:id="285" w:name="_Toc41854972"/>
      <w:bookmarkStart w:id="286" w:name="_Toc42100111"/>
      <w:r>
        <w:rPr>
          <w:rFonts w:hint="eastAsia" w:eastAsia="楷体"/>
        </w:rPr>
        <w:t>提高土地综合利用效率</w:t>
      </w:r>
      <w:bookmarkEnd w:id="282"/>
      <w:bookmarkEnd w:id="283"/>
      <w:bookmarkEnd w:id="284"/>
      <w:bookmarkEnd w:id="285"/>
      <w:bookmarkEnd w:id="286"/>
    </w:p>
    <w:p w14:paraId="3D28737C">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加快推动产业向园区集中、土地向规模经营集中、人口向城镇集中。制定《金台区建设用地亩均产出综合考评办法》，</w:t>
      </w:r>
      <w:r>
        <w:rPr>
          <w:rFonts w:ascii="仿宋_GB2312" w:hAnsi="仿宋_GB2312" w:eastAsia="仿宋_GB2312" w:cs="仿宋_GB2312"/>
          <w:kern w:val="0"/>
          <w:sz w:val="32"/>
          <w:szCs w:val="32"/>
        </w:rPr>
        <w:t>对</w:t>
      </w:r>
      <w:r>
        <w:rPr>
          <w:rFonts w:hint="eastAsia" w:ascii="仿宋_GB2312" w:hAnsi="仿宋_GB2312" w:eastAsia="仿宋_GB2312" w:cs="仿宋_GB2312"/>
          <w:kern w:val="0"/>
          <w:sz w:val="32"/>
          <w:szCs w:val="32"/>
        </w:rPr>
        <w:t>蟠龙高新区</w:t>
      </w:r>
      <w:r>
        <w:rPr>
          <w:rFonts w:ascii="仿宋_GB2312" w:hAnsi="仿宋_GB2312" w:eastAsia="仿宋_GB2312" w:cs="仿宋_GB2312"/>
          <w:kern w:val="0"/>
          <w:sz w:val="32"/>
          <w:szCs w:val="32"/>
        </w:rPr>
        <w:t>、各工业园区、农产品加工园区</w:t>
      </w:r>
      <w:r>
        <w:rPr>
          <w:rFonts w:hint="eastAsia" w:ascii="仿宋_GB2312" w:hAnsi="仿宋_GB2312" w:eastAsia="仿宋_GB2312" w:cs="仿宋_GB2312"/>
          <w:kern w:val="0"/>
          <w:sz w:val="32"/>
          <w:szCs w:val="32"/>
        </w:rPr>
        <w:t>和物流园区实施“亩产效益”综合评价。探索实行耕地轮作休耕制度试点，加大闲置低效用地处置力度，对批而未供土地，澄清底子、建立台账、分类施策，促进土地高效集约利用。积极推广使用多层标准厂房，不断提高土地利用率、产出率。在龙源工业园和金河工业园实施“亩产”考核体制，建立清退和淘汰机制，提高土地使用效益。</w:t>
      </w:r>
    </w:p>
    <w:p w14:paraId="26A09988">
      <w:pPr>
        <w:pStyle w:val="5"/>
        <w:keepNext w:val="0"/>
        <w:keepLines w:val="0"/>
        <w:numPr>
          <w:ilvl w:val="0"/>
          <w:numId w:val="27"/>
        </w:numPr>
        <w:adjustRightInd w:val="0"/>
        <w:snapToGrid w:val="0"/>
        <w:spacing w:before="0" w:after="0" w:line="600" w:lineRule="exact"/>
        <w:ind w:left="1361"/>
        <w:rPr>
          <w:rFonts w:eastAsia="楷体"/>
        </w:rPr>
      </w:pPr>
      <w:bookmarkStart w:id="287" w:name="_Toc42610409"/>
      <w:bookmarkStart w:id="288" w:name="_Toc41854973"/>
      <w:bookmarkStart w:id="289" w:name="_Toc43823038"/>
      <w:bookmarkStart w:id="290" w:name="_Toc42100112"/>
      <w:bookmarkStart w:id="291" w:name="_Toc43823183"/>
      <w:r>
        <w:rPr>
          <w:rFonts w:hint="eastAsia" w:eastAsia="楷体"/>
        </w:rPr>
        <w:t>推进循环绿色发展</w:t>
      </w:r>
      <w:bookmarkEnd w:id="287"/>
      <w:bookmarkEnd w:id="288"/>
      <w:bookmarkEnd w:id="289"/>
      <w:bookmarkEnd w:id="290"/>
      <w:bookmarkEnd w:id="291"/>
    </w:p>
    <w:p w14:paraId="37C049C0">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加快构建循环型工业、农业和服务业体系，推动资源再生利用产业化。建设长寿沟再生资源循环经济产业园，形成区域垃圾填埋、分拣中心、垃圾焚烧等完整的产业链。鼓励餐饮、娱乐、宾馆和交通运输等服务性行业提供可循环利用资源产品。按照省级生活垃圾分类示范区要求，持续推进垃圾分类工作。加快推进家电更新消费。到</w:t>
      </w:r>
      <w:r>
        <w:rPr>
          <w:rFonts w:ascii="仿宋_GB2312" w:hAnsi="仿宋_GB2312" w:eastAsia="仿宋_GB2312" w:cs="仿宋_GB2312"/>
          <w:kern w:val="0"/>
          <w:sz w:val="32"/>
          <w:szCs w:val="32"/>
        </w:rPr>
        <w:t>2025</w:t>
      </w:r>
      <w:r>
        <w:rPr>
          <w:rFonts w:hint="eastAsia" w:ascii="仿宋_GB2312" w:hAnsi="仿宋_GB2312" w:eastAsia="仿宋_GB2312" w:cs="仿宋_GB2312"/>
          <w:kern w:val="0"/>
          <w:sz w:val="32"/>
          <w:szCs w:val="32"/>
        </w:rPr>
        <w:t>年，建成生活垃圾分类处理系统，建筑垃圾资源化利用率达到</w:t>
      </w:r>
      <w:r>
        <w:rPr>
          <w:rFonts w:ascii="仿宋_GB2312" w:hAnsi="仿宋_GB2312" w:eastAsia="仿宋_GB2312" w:cs="仿宋_GB2312"/>
          <w:kern w:val="0"/>
          <w:sz w:val="32"/>
          <w:szCs w:val="32"/>
        </w:rPr>
        <w:t>40%</w:t>
      </w:r>
      <w:r>
        <w:rPr>
          <w:rFonts w:hint="eastAsia" w:ascii="仿宋_GB2312" w:hAnsi="仿宋_GB2312" w:eastAsia="仿宋_GB2312" w:cs="仿宋_GB2312"/>
          <w:kern w:val="0"/>
          <w:sz w:val="32"/>
          <w:szCs w:val="32"/>
        </w:rPr>
        <w:t>以上。</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596A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Borders>
              <w:top w:val="single" w:color="auto" w:sz="4" w:space="0"/>
              <w:left w:val="single" w:color="auto" w:sz="4" w:space="0"/>
              <w:bottom w:val="single" w:color="auto" w:sz="4" w:space="0"/>
              <w:right w:val="single" w:color="auto" w:sz="4" w:space="0"/>
            </w:tcBorders>
          </w:tcPr>
          <w:p w14:paraId="7648661E">
            <w:pPr>
              <w:adjustRightInd w:val="0"/>
              <w:snapToGrid w:val="0"/>
              <w:spacing w:line="400" w:lineRule="exact"/>
              <w:jc w:val="center"/>
              <w:rPr>
                <w:rFonts w:ascii="Times New Roman" w:hAnsi="Times New Roman" w:eastAsia="黑体"/>
                <w:sz w:val="24"/>
                <w:szCs w:val="24"/>
              </w:rPr>
            </w:pPr>
            <w:bookmarkStart w:id="292" w:name="_Toc41854982"/>
            <w:bookmarkStart w:id="293" w:name="_Toc42100121"/>
            <w:bookmarkStart w:id="294" w:name="_Toc42610418"/>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1</w:t>
            </w:r>
            <w:r>
              <w:rPr>
                <w:rFonts w:ascii="Times New Roman" w:hAnsi="Times New Roman" w:eastAsia="黑体"/>
                <w:sz w:val="28"/>
                <w:szCs w:val="28"/>
              </w:rPr>
              <w:t xml:space="preserve"> </w:t>
            </w:r>
            <w:r>
              <w:rPr>
                <w:rFonts w:hint="eastAsia" w:ascii="Times New Roman" w:hAnsi="Times New Roman" w:eastAsia="黑体"/>
                <w:sz w:val="28"/>
                <w:szCs w:val="28"/>
              </w:rPr>
              <w:t>生态文明建设重大项目</w:t>
            </w:r>
          </w:p>
        </w:tc>
      </w:tr>
      <w:tr w14:paraId="3BF18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tcBorders>
              <w:top w:val="single" w:color="auto" w:sz="4" w:space="0"/>
              <w:left w:val="single" w:color="auto" w:sz="4" w:space="0"/>
              <w:bottom w:val="single" w:color="auto" w:sz="4" w:space="0"/>
              <w:right w:val="single" w:color="auto" w:sz="4" w:space="0"/>
            </w:tcBorders>
          </w:tcPr>
          <w:p w14:paraId="201B24AE">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1.金台区北坡生态治理项目。</w:t>
            </w:r>
            <w:r>
              <w:rPr>
                <w:rFonts w:hint="eastAsia" w:ascii="仿宋_GB2312" w:hAnsi="仿宋_GB2312" w:eastAsia="仿宋_GB2312" w:cs="仿宋_GB2312"/>
                <w:sz w:val="28"/>
                <w:szCs w:val="28"/>
              </w:rPr>
              <w:t>对坡面及游园小道路、景观重新整合，对滑坡、裸露山体、护坡崖面、拆迁遗留等区域进行生态修复，在太极东路太极西路建设人行道并实施景观绿化，对蟠龙塬北坡进行生态综合治理等，投资约5亿元。</w:t>
            </w:r>
          </w:p>
          <w:p w14:paraId="11E9E31C">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2.金陵河河道安全暨综合治理。</w:t>
            </w:r>
            <w:r>
              <w:rPr>
                <w:rFonts w:hint="eastAsia" w:ascii="仿宋_GB2312" w:hAnsi="仿宋_GB2312" w:eastAsia="仿宋_GB2312" w:cs="仿宋_GB2312"/>
                <w:sz w:val="28"/>
                <w:szCs w:val="28"/>
              </w:rPr>
              <w:t>建设堤防、河道清淤疏浚、水土保持及生态修复等工程，投资约</w:t>
            </w:r>
            <w:r>
              <w:rPr>
                <w:rFonts w:ascii="仿宋_GB2312" w:hAnsi="仿宋_GB2312" w:eastAsia="仿宋_GB2312" w:cs="仿宋_GB2312"/>
                <w:sz w:val="28"/>
                <w:szCs w:val="28"/>
              </w:rPr>
              <w:t>1</w:t>
            </w:r>
            <w:r>
              <w:rPr>
                <w:rFonts w:hint="eastAsia" w:ascii="仿宋_GB2312" w:hAnsi="仿宋_GB2312" w:eastAsia="仿宋_GB2312" w:cs="仿宋_GB2312"/>
                <w:sz w:val="28"/>
                <w:szCs w:val="28"/>
              </w:rPr>
              <w:t>亿元。</w:t>
            </w:r>
          </w:p>
          <w:p w14:paraId="2A144FB1">
            <w:pPr>
              <w:widowControl w:val="0"/>
              <w:adjustRightInd w:val="0"/>
              <w:snapToGrid w:val="0"/>
              <w:spacing w:line="400" w:lineRule="exact"/>
              <w:ind w:firstLine="562" w:firstLineChars="200"/>
              <w:jc w:val="both"/>
              <w:rPr>
                <w:rFonts w:ascii="仿宋_GB2312" w:hAnsi="仿宋_GB2312" w:eastAsia="仿宋_GB2312" w:cs="仿宋_GB2312"/>
                <w:b/>
                <w:sz w:val="28"/>
                <w:szCs w:val="28"/>
              </w:rPr>
            </w:pPr>
            <w:r>
              <w:rPr>
                <w:rFonts w:hint="eastAsia" w:ascii="仿宋_GB2312" w:hAnsi="仿宋_GB2312" w:eastAsia="仿宋_GB2312" w:cs="仿宋_GB2312"/>
                <w:b/>
                <w:sz w:val="28"/>
                <w:szCs w:val="28"/>
              </w:rPr>
              <w:t>3.引渭渠市区段环境整治提升项目。</w:t>
            </w:r>
            <w:r>
              <w:rPr>
                <w:rFonts w:hint="eastAsia" w:ascii="仿宋_GB2312" w:hAnsi="仿宋_GB2312" w:eastAsia="仿宋_GB2312" w:cs="仿宋_GB2312"/>
                <w:sz w:val="28"/>
                <w:szCs w:val="28"/>
              </w:rPr>
              <w:t>实施渠面覆盖、绿化、停车场、护栏等，完善城市功能，交通路网梳理，城市环境提升，投资约5亿元。</w:t>
            </w:r>
          </w:p>
          <w:p w14:paraId="7C8FB0DD">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4.金台区农村生活污水治理项目。</w:t>
            </w:r>
            <w:r>
              <w:rPr>
                <w:rFonts w:hint="eastAsia" w:ascii="仿宋_GB2312" w:hAnsi="仿宋_GB2312" w:eastAsia="仿宋_GB2312" w:cs="仿宋_GB2312"/>
                <w:sz w:val="28"/>
                <w:szCs w:val="28"/>
              </w:rPr>
              <w:t>26个村建设污水处理设施及管网，投资约0.85亿元。</w:t>
            </w:r>
          </w:p>
          <w:p w14:paraId="55F6046A">
            <w:pPr>
              <w:adjustRightInd w:val="0"/>
              <w:snapToGrid w:val="0"/>
              <w:spacing w:line="39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5.蟠龙新区生活垃圾收集转运系统项目。</w:t>
            </w:r>
            <w:r>
              <w:rPr>
                <w:rFonts w:hint="eastAsia" w:ascii="仿宋_GB2312" w:hAnsi="仿宋_GB2312" w:eastAsia="仿宋_GB2312" w:cs="仿宋_GB2312"/>
                <w:sz w:val="28"/>
                <w:szCs w:val="28"/>
              </w:rPr>
              <w:t>建设垃圾压缩、转运站、垃圾屋及其他设施，购置垃圾运输车、垃圾收集车，投资约1.5亿元。</w:t>
            </w:r>
          </w:p>
          <w:p w14:paraId="303F9D80">
            <w:pPr>
              <w:pStyle w:val="8"/>
              <w:ind w:firstLine="562"/>
              <w:rPr>
                <w:rFonts w:ascii="仿宋_GB2312" w:hAnsi="仿宋_GB2312" w:eastAsia="仿宋_GB2312" w:cs="仿宋_GB2312"/>
              </w:rPr>
            </w:pPr>
            <w:r>
              <w:rPr>
                <w:rFonts w:hint="eastAsia" w:ascii="仿宋_GB2312" w:hAnsi="仿宋_GB2312" w:eastAsia="仿宋_GB2312" w:cs="仿宋_GB2312"/>
                <w:b/>
                <w:bCs/>
                <w:sz w:val="28"/>
                <w:szCs w:val="28"/>
              </w:rPr>
              <w:t>6.宝鸡市生活垃圾发电项目（PPP模式）。</w:t>
            </w:r>
            <w:r>
              <w:rPr>
                <w:rFonts w:hint="eastAsia" w:ascii="仿宋_GB2312" w:hAnsi="仿宋_GB2312" w:eastAsia="仿宋_GB2312" w:cs="仿宋_GB2312"/>
                <w:sz w:val="28"/>
                <w:szCs w:val="28"/>
              </w:rPr>
              <w:t>建设主厂房、焚烧及烟气净化系统和垃圾池及渗滤液处理系统等，投资约7.58亿元。</w:t>
            </w:r>
          </w:p>
          <w:p w14:paraId="22C51D8E">
            <w:pPr>
              <w:adjustRightInd w:val="0"/>
              <w:snapToGrid w:val="0"/>
              <w:spacing w:line="39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7.蟠龙高新区生态绿廊系统。</w:t>
            </w:r>
            <w:r>
              <w:rPr>
                <w:rFonts w:hint="eastAsia" w:ascii="仿宋_GB2312" w:hAnsi="仿宋_GB2312" w:eastAsia="仿宋_GB2312" w:cs="仿宋_GB2312"/>
                <w:sz w:val="28"/>
                <w:szCs w:val="28"/>
              </w:rPr>
              <w:t>建设景观林、林下绿化、铺装、配套管理房、人行道、喷灌管道等，投资约5亿元。</w:t>
            </w:r>
          </w:p>
        </w:tc>
      </w:tr>
    </w:tbl>
    <w:p w14:paraId="45E6A657">
      <w:pPr>
        <w:pStyle w:val="3"/>
        <w:keepNext w:val="0"/>
        <w:keepLines w:val="0"/>
        <w:adjustRightInd w:val="0"/>
        <w:snapToGrid w:val="0"/>
        <w:spacing w:before="120" w:beforeLines="50" w:after="120" w:afterLines="50" w:line="360" w:lineRule="auto"/>
        <w:rPr>
          <w:rFonts w:eastAsia="黑体"/>
          <w:b w:val="0"/>
          <w:sz w:val="32"/>
          <w:szCs w:val="32"/>
        </w:rPr>
        <w:sectPr>
          <w:pgSz w:w="11907" w:h="16840"/>
          <w:pgMar w:top="1440" w:right="1474" w:bottom="1440" w:left="1588" w:header="851" w:footer="992" w:gutter="0"/>
          <w:cols w:space="425" w:num="1"/>
          <w:docGrid w:linePitch="312" w:charSpace="0"/>
        </w:sectPr>
      </w:pPr>
    </w:p>
    <w:bookmarkEnd w:id="292"/>
    <w:bookmarkEnd w:id="293"/>
    <w:bookmarkEnd w:id="294"/>
    <w:p w14:paraId="5865CA3E">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295" w:name="_Toc50988084"/>
      <w:bookmarkStart w:id="296" w:name="_Toc53863315"/>
      <w:bookmarkStart w:id="297" w:name="_Toc50988336"/>
      <w:bookmarkStart w:id="298" w:name="_Toc50710120"/>
      <w:bookmarkStart w:id="299" w:name="_Toc49276071"/>
      <w:bookmarkStart w:id="300" w:name="_Toc66442994"/>
      <w:r>
        <w:rPr>
          <w:rFonts w:hint="eastAsia" w:eastAsia="方正小标宋简体"/>
          <w:b w:val="0"/>
          <w:iCs/>
          <w:kern w:val="2"/>
          <w:sz w:val="36"/>
          <w:szCs w:val="36"/>
        </w:rPr>
        <w:t>健全公共服务体系，搭建社会保障新网络</w:t>
      </w:r>
      <w:bookmarkEnd w:id="295"/>
      <w:bookmarkEnd w:id="296"/>
      <w:bookmarkEnd w:id="297"/>
      <w:bookmarkEnd w:id="298"/>
      <w:bookmarkEnd w:id="299"/>
      <w:bookmarkEnd w:id="300"/>
    </w:p>
    <w:p w14:paraId="47C5936D">
      <w:pPr>
        <w:adjustRightInd w:val="0"/>
        <w:snapToGrid w:val="0"/>
        <w:spacing w:line="560" w:lineRule="exact"/>
        <w:ind w:firstLine="640" w:firstLineChars="200"/>
        <w:jc w:val="both"/>
        <w:rPr>
          <w:rFonts w:ascii="Times New Roman" w:hAnsi="Times New Roman" w:eastAsia="仿宋_GB2312" w:cs="仿宋_GB2312"/>
          <w:kern w:val="0"/>
          <w:sz w:val="32"/>
          <w:szCs w:val="32"/>
        </w:rPr>
      </w:pPr>
      <w:r>
        <w:rPr>
          <w:rFonts w:hint="eastAsia" w:ascii="Times New Roman" w:hAnsi="Times New Roman" w:eastAsia="仿宋_GB2312" w:cs="仿宋_GB2312"/>
          <w:kern w:val="0"/>
          <w:sz w:val="32"/>
          <w:szCs w:val="32"/>
        </w:rPr>
        <w:t>始终坚持以人民为中心的发展</w:t>
      </w:r>
      <w:r>
        <w:rPr>
          <w:rFonts w:hint="eastAsia" w:ascii="Times New Roman" w:hAnsi="Times New Roman" w:eastAsia="仿宋_GB2312" w:cs="仿宋_GB2312"/>
          <w:kern w:val="0"/>
          <w:sz w:val="32"/>
          <w:szCs w:val="32"/>
          <w:lang w:val="en-US" w:eastAsia="zh-CN"/>
        </w:rPr>
        <w:t>思想</w:t>
      </w:r>
      <w:r>
        <w:rPr>
          <w:rFonts w:hint="eastAsia" w:ascii="Times New Roman" w:hAnsi="Times New Roman" w:eastAsia="仿宋_GB2312" w:cs="仿宋_GB2312"/>
          <w:kern w:val="0"/>
          <w:sz w:val="32"/>
          <w:szCs w:val="32"/>
        </w:rPr>
        <w:t>，筑牢社会底线，有效增加社会公共服务供给，大力推进公共服务均等化，提高人民生活品质。加强普惠性、基础性、兜底性民生建设，打通服务群众“最后一米”，不断增强人民群众的获得感、幸福感、安全感。到2025年</w:t>
      </w:r>
      <w:r>
        <w:rPr>
          <w:rFonts w:ascii="Times New Roman" w:hAnsi="Times New Roman" w:eastAsia="仿宋_GB2312" w:cs="仿宋_GB2312"/>
          <w:kern w:val="0"/>
          <w:sz w:val="32"/>
          <w:szCs w:val="32"/>
        </w:rPr>
        <w:t>，</w:t>
      </w:r>
      <w:r>
        <w:rPr>
          <w:rFonts w:hint="eastAsia" w:ascii="Times New Roman" w:hAnsi="Times New Roman" w:eastAsia="仿宋_GB2312" w:cs="仿宋_GB2312"/>
          <w:kern w:val="0"/>
          <w:sz w:val="32"/>
          <w:szCs w:val="32"/>
        </w:rPr>
        <w:t>医防融合的</w:t>
      </w:r>
      <w:r>
        <w:rPr>
          <w:rFonts w:ascii="Times New Roman" w:hAnsi="Times New Roman" w:eastAsia="仿宋_GB2312" w:cs="仿宋_GB2312"/>
          <w:kern w:val="0"/>
          <w:sz w:val="32"/>
          <w:szCs w:val="32"/>
        </w:rPr>
        <w:t>整合型卫生</w:t>
      </w:r>
      <w:r>
        <w:rPr>
          <w:rFonts w:hint="eastAsia" w:ascii="Times New Roman" w:hAnsi="Times New Roman" w:eastAsia="仿宋_GB2312" w:cs="仿宋_GB2312"/>
          <w:kern w:val="0"/>
          <w:sz w:val="32"/>
          <w:szCs w:val="32"/>
        </w:rPr>
        <w:t>健康</w:t>
      </w:r>
      <w:r>
        <w:rPr>
          <w:rFonts w:ascii="Times New Roman" w:hAnsi="Times New Roman" w:eastAsia="仿宋_GB2312" w:cs="仿宋_GB2312"/>
          <w:kern w:val="0"/>
          <w:sz w:val="32"/>
          <w:szCs w:val="32"/>
        </w:rPr>
        <w:t>服务体系全面建立，金台特色</w:t>
      </w:r>
      <w:r>
        <w:rPr>
          <w:rFonts w:hint="eastAsia" w:ascii="Times New Roman" w:hAnsi="Times New Roman" w:eastAsia="仿宋_GB2312" w:cs="仿宋_GB2312"/>
          <w:kern w:val="0"/>
          <w:sz w:val="32"/>
          <w:szCs w:val="32"/>
        </w:rPr>
        <w:t>医疗</w:t>
      </w:r>
      <w:r>
        <w:rPr>
          <w:rFonts w:ascii="Times New Roman" w:hAnsi="Times New Roman" w:eastAsia="仿宋_GB2312" w:cs="仿宋_GB2312"/>
          <w:kern w:val="0"/>
          <w:sz w:val="32"/>
          <w:szCs w:val="32"/>
        </w:rPr>
        <w:t>康养产业体系基本形成</w:t>
      </w:r>
      <w:r>
        <w:rPr>
          <w:rFonts w:hint="eastAsia" w:ascii="Times New Roman" w:hAnsi="Times New Roman" w:eastAsia="仿宋_GB2312" w:cs="仿宋_GB2312"/>
          <w:kern w:val="0"/>
          <w:sz w:val="32"/>
          <w:szCs w:val="32"/>
        </w:rPr>
        <w:t>，基本</w:t>
      </w:r>
      <w:r>
        <w:rPr>
          <w:rFonts w:ascii="Times New Roman" w:hAnsi="Times New Roman" w:eastAsia="仿宋_GB2312" w:cs="仿宋_GB2312"/>
          <w:kern w:val="0"/>
          <w:sz w:val="32"/>
          <w:szCs w:val="32"/>
        </w:rPr>
        <w:t>建成</w:t>
      </w:r>
      <w:r>
        <w:rPr>
          <w:rFonts w:hint="eastAsia" w:ascii="Times New Roman" w:hAnsi="Times New Roman" w:eastAsia="仿宋_GB2312" w:cs="仿宋_GB2312"/>
          <w:kern w:val="0"/>
          <w:sz w:val="32"/>
          <w:szCs w:val="32"/>
        </w:rPr>
        <w:t>金台优质教育</w:t>
      </w:r>
      <w:r>
        <w:rPr>
          <w:rFonts w:ascii="Times New Roman" w:hAnsi="Times New Roman" w:eastAsia="仿宋_GB2312" w:cs="仿宋_GB2312"/>
          <w:kern w:val="0"/>
          <w:sz w:val="32"/>
          <w:szCs w:val="32"/>
        </w:rPr>
        <w:t>园区、教育培训</w:t>
      </w:r>
      <w:r>
        <w:rPr>
          <w:rFonts w:hint="eastAsia" w:ascii="Times New Roman" w:hAnsi="Times New Roman" w:eastAsia="仿宋_GB2312" w:cs="仿宋_GB2312"/>
          <w:kern w:val="0"/>
          <w:sz w:val="32"/>
          <w:szCs w:val="32"/>
        </w:rPr>
        <w:t>基地</w:t>
      </w:r>
      <w:r>
        <w:rPr>
          <w:rFonts w:ascii="Times New Roman" w:hAnsi="Times New Roman" w:eastAsia="仿宋_GB2312" w:cs="仿宋_GB2312"/>
          <w:kern w:val="0"/>
          <w:sz w:val="32"/>
          <w:szCs w:val="32"/>
        </w:rPr>
        <w:t>。到</w:t>
      </w:r>
      <w:r>
        <w:rPr>
          <w:rFonts w:hint="eastAsia" w:ascii="Times New Roman" w:hAnsi="Times New Roman" w:eastAsia="仿宋_GB2312" w:cs="仿宋_GB2312"/>
          <w:kern w:val="0"/>
          <w:sz w:val="32"/>
          <w:szCs w:val="32"/>
        </w:rPr>
        <w:t>2035年</w:t>
      </w:r>
      <w:r>
        <w:rPr>
          <w:rFonts w:ascii="Times New Roman" w:hAnsi="Times New Roman" w:eastAsia="仿宋_GB2312" w:cs="仿宋_GB2312"/>
          <w:kern w:val="0"/>
          <w:sz w:val="32"/>
          <w:szCs w:val="32"/>
        </w:rPr>
        <w:t>，建成服务</w:t>
      </w:r>
      <w:r>
        <w:rPr>
          <w:rFonts w:hint="eastAsia" w:ascii="Times New Roman" w:hAnsi="Times New Roman" w:eastAsia="仿宋_GB2312" w:cs="仿宋_GB2312"/>
          <w:kern w:val="0"/>
          <w:sz w:val="32"/>
          <w:szCs w:val="32"/>
        </w:rPr>
        <w:t>周边</w:t>
      </w:r>
      <w:r>
        <w:rPr>
          <w:rFonts w:ascii="Times New Roman" w:hAnsi="Times New Roman" w:eastAsia="仿宋_GB2312" w:cs="仿宋_GB2312"/>
          <w:kern w:val="0"/>
          <w:sz w:val="32"/>
          <w:szCs w:val="32"/>
        </w:rPr>
        <w:t>的区域医疗</w:t>
      </w:r>
      <w:r>
        <w:rPr>
          <w:rFonts w:hint="eastAsia" w:ascii="Times New Roman" w:hAnsi="Times New Roman" w:eastAsia="仿宋_GB2312" w:cs="仿宋_GB2312"/>
          <w:kern w:val="0"/>
          <w:sz w:val="32"/>
          <w:szCs w:val="32"/>
        </w:rPr>
        <w:t>高地</w:t>
      </w:r>
      <w:r>
        <w:rPr>
          <w:rFonts w:ascii="Times New Roman" w:hAnsi="Times New Roman" w:eastAsia="仿宋_GB2312" w:cs="仿宋_GB2312"/>
          <w:kern w:val="0"/>
          <w:sz w:val="32"/>
          <w:szCs w:val="32"/>
        </w:rPr>
        <w:t>和康养</w:t>
      </w:r>
      <w:r>
        <w:rPr>
          <w:rFonts w:hint="eastAsia" w:ascii="Times New Roman" w:hAnsi="Times New Roman" w:eastAsia="仿宋_GB2312" w:cs="仿宋_GB2312"/>
          <w:kern w:val="0"/>
          <w:sz w:val="32"/>
          <w:szCs w:val="32"/>
        </w:rPr>
        <w:t>胜地，形成</w:t>
      </w:r>
      <w:r>
        <w:rPr>
          <w:rFonts w:ascii="Times New Roman" w:hAnsi="Times New Roman" w:eastAsia="仿宋_GB2312" w:cs="仿宋_GB2312"/>
          <w:kern w:val="0"/>
          <w:sz w:val="32"/>
          <w:szCs w:val="32"/>
        </w:rPr>
        <w:t>现代化教育体系。</w:t>
      </w:r>
    </w:p>
    <w:p w14:paraId="7358B28A">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01" w:name="_Toc66442995"/>
      <w:bookmarkStart w:id="302" w:name="_Toc50988337"/>
      <w:bookmarkStart w:id="303" w:name="_Toc50988085"/>
      <w:bookmarkStart w:id="304" w:name="_Toc53863316"/>
      <w:bookmarkStart w:id="305" w:name="_Toc49276072"/>
      <w:bookmarkStart w:id="306" w:name="_Toc42610419"/>
      <w:bookmarkStart w:id="307" w:name="_Toc50710121"/>
      <w:r>
        <w:rPr>
          <w:rFonts w:hint="eastAsia" w:ascii="Times New Roman" w:hAnsi="Times New Roman" w:cs="宋体"/>
          <w:bCs w:val="0"/>
          <w:sz w:val="32"/>
          <w:szCs w:val="24"/>
        </w:rPr>
        <w:t>第一节 优先发展教育事业</w:t>
      </w:r>
      <w:bookmarkEnd w:id="301"/>
      <w:bookmarkEnd w:id="302"/>
      <w:bookmarkEnd w:id="303"/>
      <w:bookmarkEnd w:id="304"/>
      <w:bookmarkEnd w:id="305"/>
      <w:bookmarkEnd w:id="306"/>
      <w:bookmarkEnd w:id="307"/>
    </w:p>
    <w:p w14:paraId="5D912523">
      <w:pPr>
        <w:pStyle w:val="5"/>
        <w:keepNext w:val="0"/>
        <w:keepLines w:val="0"/>
        <w:numPr>
          <w:ilvl w:val="0"/>
          <w:numId w:val="28"/>
        </w:numPr>
        <w:adjustRightInd w:val="0"/>
        <w:snapToGrid w:val="0"/>
        <w:spacing w:before="0" w:after="0" w:line="600" w:lineRule="exact"/>
        <w:ind w:firstLine="643" w:firstLineChars="200"/>
        <w:rPr>
          <w:rFonts w:eastAsia="楷体"/>
        </w:rPr>
      </w:pPr>
      <w:bookmarkStart w:id="308" w:name="_Toc42100127"/>
      <w:bookmarkStart w:id="309" w:name="_Toc41854988"/>
      <w:bookmarkStart w:id="310" w:name="_Toc42610420"/>
      <w:r>
        <w:rPr>
          <w:rFonts w:hint="eastAsia" w:eastAsia="楷体"/>
        </w:rPr>
        <w:t>大力发展基础教育</w:t>
      </w:r>
      <w:bookmarkEnd w:id="308"/>
      <w:bookmarkEnd w:id="309"/>
      <w:bookmarkEnd w:id="310"/>
    </w:p>
    <w:p w14:paraId="5BA57DDF">
      <w:pPr>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仿宋_GB2312"/>
          <w:b/>
          <w:kern w:val="0"/>
          <w:sz w:val="32"/>
          <w:szCs w:val="32"/>
        </w:rPr>
        <w:t>加强普惠性学前教育。</w:t>
      </w:r>
      <w:r>
        <w:rPr>
          <w:rFonts w:hint="eastAsia" w:ascii="仿宋_GB2312" w:hAnsi="仿宋_GB2312" w:eastAsia="仿宋_GB2312" w:cs="仿宋_GB2312"/>
          <w:kern w:val="0"/>
          <w:sz w:val="32"/>
          <w:szCs w:val="32"/>
        </w:rPr>
        <w:t>强化学前教育公共服务职能，鼓励普惠性幼儿园发展，加大等级幼儿园建设力度。新建福临堡幼儿园、宝平路幼儿园、蟠龙第一</w:t>
      </w:r>
      <w:bookmarkStart w:id="311" w:name="_Hlk59992370"/>
      <w:r>
        <w:rPr>
          <w:rFonts w:hint="eastAsia" w:ascii="仿宋_GB2312" w:hAnsi="仿宋_GB2312" w:eastAsia="仿宋_GB2312" w:cs="仿宋_GB2312"/>
          <w:kern w:val="0"/>
          <w:sz w:val="32"/>
          <w:szCs w:val="32"/>
        </w:rPr>
        <w:t>幼儿园</w:t>
      </w:r>
      <w:bookmarkEnd w:id="311"/>
      <w:r>
        <w:rPr>
          <w:rFonts w:hint="eastAsia" w:ascii="仿宋_GB2312" w:hAnsi="仿宋_GB2312" w:eastAsia="仿宋_GB2312" w:cs="仿宋_GB2312"/>
          <w:kern w:val="0"/>
          <w:sz w:val="32"/>
          <w:szCs w:val="32"/>
        </w:rPr>
        <w:t>、行政中心幼儿园等公办幼儿园，逐年提高公办幼儿园占比，完善幼儿园评价，纳入质量评价范畴。</w:t>
      </w:r>
      <w:r>
        <w:rPr>
          <w:rFonts w:hint="eastAsia" w:ascii="仿宋_GB2312" w:hAnsi="仿宋_GB2312" w:eastAsia="仿宋_GB2312" w:cs="仿宋_GB2312"/>
          <w:kern w:val="0"/>
          <w:sz w:val="31"/>
          <w:szCs w:val="31"/>
        </w:rPr>
        <w:t>培养一批幼儿骨干教师和学术带头人，全面提高学前教育发展水平。</w:t>
      </w:r>
      <w:r>
        <w:rPr>
          <w:rFonts w:hint="eastAsia" w:ascii="仿宋_GB2312" w:hAnsi="仿宋_GB2312" w:eastAsia="仿宋_GB2312" w:cs="仿宋_GB2312"/>
          <w:kern w:val="0"/>
          <w:sz w:val="32"/>
          <w:szCs w:val="32"/>
        </w:rPr>
        <w:t>到2025年，</w:t>
      </w:r>
      <w:r>
        <w:rPr>
          <w:rFonts w:hint="eastAsia" w:ascii="仿宋_GB2312" w:hAnsi="仿宋_GB2312" w:eastAsia="仿宋_GB2312" w:cs="仿宋_GB2312"/>
          <w:kern w:val="0"/>
          <w:sz w:val="31"/>
          <w:szCs w:val="31"/>
        </w:rPr>
        <w:t>公办幼儿园占比90%以上，幼儿园专任教师学历全部达标。</w:t>
      </w:r>
    </w:p>
    <w:p w14:paraId="1F49C164">
      <w:pPr>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仿宋_GB2312"/>
          <w:b/>
          <w:kern w:val="0"/>
          <w:sz w:val="32"/>
          <w:szCs w:val="32"/>
        </w:rPr>
        <w:t>义务教育优质均衡发展。</w:t>
      </w:r>
      <w:r>
        <w:rPr>
          <w:rFonts w:hint="eastAsia" w:ascii="仿宋_GB2312" w:hAnsi="仿宋_GB2312" w:eastAsia="仿宋_GB2312" w:cs="仿宋_GB2312"/>
          <w:kern w:val="0"/>
          <w:sz w:val="32"/>
          <w:szCs w:val="32"/>
        </w:rPr>
        <w:t>合理规划布局调整,严格落实教育用地规划，加大资金投入，新建五星小学、东城初中、蟠龙高新区北师大附小等学校。积极推进龙泉中学迁建，宝平路小学、宏文中学等学校改扩建，建设国际双语学校。积极实施“名师名校”工程，全力引进省内外优质教育资源，到2025年，全面消除义务教育阶段大班额，初中学业水平考试成绩合格率达95%以上。</w:t>
      </w:r>
    </w:p>
    <w:p w14:paraId="2989EEED">
      <w:pPr>
        <w:widowControl w:val="0"/>
        <w:adjustRightInd w:val="0"/>
        <w:snapToGrid w:val="0"/>
        <w:spacing w:line="560" w:lineRule="exact"/>
        <w:ind w:firstLine="643" w:firstLineChars="200"/>
        <w:jc w:val="both"/>
        <w:rPr>
          <w:rFonts w:ascii="仿宋_GB2312" w:hAnsi="仿宋_GB2312" w:eastAsia="仿宋_GB2312" w:cs="仿宋_GB2312"/>
        </w:rPr>
      </w:pPr>
      <w:r>
        <w:rPr>
          <w:rFonts w:hint="eastAsia" w:ascii="Times New Roman" w:hAnsi="Times New Roman" w:eastAsia="仿宋_GB2312" w:cs="宋体"/>
          <w:b/>
          <w:kern w:val="0"/>
          <w:sz w:val="32"/>
          <w:szCs w:val="32"/>
        </w:rPr>
        <w:t>积极开展高中创优行动。</w:t>
      </w:r>
      <w:r>
        <w:rPr>
          <w:rFonts w:hint="eastAsia" w:ascii="Times New Roman" w:hAnsi="Times New Roman" w:eastAsia="仿宋_GB2312" w:cs="宋体"/>
          <w:kern w:val="0"/>
          <w:sz w:val="32"/>
          <w:szCs w:val="32"/>
        </w:rPr>
        <w:t>新建陕师大蟠龙实验高中、北师大宝鸡实验高中。推进普通高中育人方式改革，壮大普通高中骨干</w:t>
      </w:r>
      <w:r>
        <w:rPr>
          <w:rFonts w:hint="eastAsia" w:ascii="仿宋_GB2312" w:hAnsi="仿宋_GB2312" w:eastAsia="仿宋_GB2312" w:cs="仿宋_GB2312"/>
          <w:kern w:val="0"/>
          <w:sz w:val="32"/>
          <w:szCs w:val="32"/>
        </w:rPr>
        <w:t>体系，进一步促进普通高中多样化、特色化、优质化发展，开展“新时代新高中”创优行动，把区内高中全部建成省级标准化高中，力争创建2所省级示范高中。</w:t>
      </w:r>
    </w:p>
    <w:p w14:paraId="0897A56D">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大力发展职业教育</w:t>
      </w:r>
    </w:p>
    <w:p w14:paraId="39806019">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加大职业教育投入。</w:t>
      </w:r>
      <w:r>
        <w:rPr>
          <w:rFonts w:hint="eastAsia" w:ascii="Times New Roman" w:hAnsi="Times New Roman" w:eastAsia="仿宋_GB2312" w:cs="宋体"/>
          <w:kern w:val="0"/>
          <w:sz w:val="32"/>
          <w:szCs w:val="32"/>
        </w:rPr>
        <w:t>加强职业教育健康快速发展，深入推进育人方式、办学模式、管理体制、保障机制改革，瞄准技术变革和产业优化升级的方向，吸引更多青年接受职业技能教育，促进教育链、人才链与产业链、创新链有效衔接。加快建设蟠龙高新区职业教育产业园，持续推进陕西机电职业技术学院迁建，新建金台区职业教育中心新校区。</w:t>
      </w:r>
      <w:r>
        <w:rPr>
          <w:rFonts w:hint="eastAsia" w:ascii="Times New Roman" w:hAnsi="Times New Roman" w:eastAsia="仿宋_GB2312"/>
          <w:sz w:val="32"/>
          <w:szCs w:val="32"/>
        </w:rPr>
        <w:t>加强职业学校师资队伍和办学条件建设，不断提高学校服务社会的水平。</w:t>
      </w:r>
    </w:p>
    <w:p w14:paraId="568F8946">
      <w:pPr>
        <w:pStyle w:val="15"/>
        <w:spacing w:line="560" w:lineRule="exact"/>
        <w:ind w:firstLine="643"/>
        <w:jc w:val="both"/>
        <w:rPr>
          <w:rFonts w:ascii="Times New Roman" w:hAnsi="Times New Roman" w:cs="宋体"/>
          <w:b/>
          <w:bCs/>
          <w:sz w:val="32"/>
          <w:szCs w:val="32"/>
        </w:rPr>
      </w:pPr>
      <w:r>
        <w:rPr>
          <w:rFonts w:hint="eastAsia" w:ascii="Times New Roman" w:hAnsi="Times New Roman" w:cs="宋体"/>
          <w:b/>
          <w:bCs/>
          <w:sz w:val="32"/>
          <w:szCs w:val="32"/>
        </w:rPr>
        <w:t>深化产教融合发展。</w:t>
      </w:r>
      <w:r>
        <w:rPr>
          <w:rFonts w:hint="eastAsia" w:hAnsi="仿宋_GB2312" w:cs="仿宋_GB2312"/>
          <w:sz w:val="32"/>
          <w:szCs w:val="36"/>
        </w:rPr>
        <w:t>深化产教融合、校企合作，建立职业院校与政府、行业、企业协同培训机制，打造“宝鸡技师”品牌，重点开展家政服务、物流配送、</w:t>
      </w:r>
      <w:r>
        <w:rPr>
          <w:rFonts w:hint="eastAsia" w:hAnsi="仿宋_GB2312" w:cs="仿宋_GB2312"/>
          <w:sz w:val="32"/>
          <w:szCs w:val="32"/>
        </w:rPr>
        <w:t>中医康复保健</w:t>
      </w:r>
      <w:r>
        <w:rPr>
          <w:rFonts w:hint="eastAsia" w:hAnsi="仿宋_GB2312" w:cs="仿宋_GB2312"/>
          <w:sz w:val="32"/>
          <w:szCs w:val="36"/>
        </w:rPr>
        <w:t>等技能培训。积极推进中职学校达标提质，</w:t>
      </w:r>
      <w:r>
        <w:rPr>
          <w:rFonts w:hint="eastAsia" w:hAnsi="仿宋_GB2312" w:cs="仿宋_GB2312"/>
          <w:sz w:val="32"/>
          <w:szCs w:val="32"/>
        </w:rPr>
        <w:t>建设2所省级高水平示范性中职学校、1所国家级高水平高职院校。培育一批产教融合型企业，建设高水平专业化产教融合实训基地。</w:t>
      </w:r>
      <w:r>
        <w:rPr>
          <w:rFonts w:hint="eastAsia" w:hAnsi="仿宋_GB2312" w:cs="仿宋_GB2312"/>
          <w:sz w:val="32"/>
          <w:szCs w:val="36"/>
        </w:rPr>
        <w:t>推动职普融通，增强职业教育适应性，加快构建现代职业教育体系。</w:t>
      </w:r>
    </w:p>
    <w:p w14:paraId="25871F3A">
      <w:pPr>
        <w:pStyle w:val="15"/>
        <w:spacing w:line="560" w:lineRule="exact"/>
        <w:ind w:firstLine="643"/>
        <w:jc w:val="both"/>
        <w:rPr>
          <w:rFonts w:ascii="Times New Roman" w:hAnsi="Times New Roman" w:cs="宋体"/>
          <w:sz w:val="32"/>
          <w:szCs w:val="32"/>
        </w:rPr>
      </w:pPr>
      <w:r>
        <w:rPr>
          <w:rFonts w:hint="eastAsia" w:ascii="Times New Roman" w:hAnsi="Times New Roman" w:cs="宋体"/>
          <w:b/>
          <w:bCs/>
          <w:sz w:val="32"/>
          <w:szCs w:val="32"/>
        </w:rPr>
        <w:t>高等教育增量扩优。</w:t>
      </w:r>
      <w:r>
        <w:rPr>
          <w:rFonts w:hint="eastAsia" w:ascii="Times New Roman" w:hAnsi="Times New Roman" w:cs="宋体"/>
          <w:sz w:val="32"/>
          <w:szCs w:val="32"/>
        </w:rPr>
        <w:t>加快宝鸡文理学院新校区建设，与机电学院、中北学院建成三个万人校区。争取更多省内外知名高校入驻，逐步引入国际教育培训机构。鼓励区内高校加强应用型学科建设，深化产学研联合、校企合作，实施高校产学对接工程。加强大学生创新创业教育，推进高校人才培养改革。</w:t>
      </w:r>
    </w:p>
    <w:p w14:paraId="47F09D3A">
      <w:pPr>
        <w:pStyle w:val="5"/>
        <w:keepNext w:val="0"/>
        <w:keepLines w:val="0"/>
        <w:numPr>
          <w:ilvl w:val="0"/>
          <w:numId w:val="28"/>
        </w:numPr>
        <w:adjustRightInd w:val="0"/>
        <w:snapToGrid w:val="0"/>
        <w:spacing w:before="0" w:after="0" w:line="600" w:lineRule="exact"/>
        <w:ind w:firstLine="643" w:firstLineChars="200"/>
        <w:rPr>
          <w:rFonts w:eastAsia="楷体"/>
        </w:rPr>
      </w:pPr>
      <w:r>
        <w:rPr>
          <w:rFonts w:hint="eastAsia" w:eastAsia="楷体"/>
        </w:rPr>
        <w:t>努力促进教育公平</w:t>
      </w:r>
    </w:p>
    <w:p w14:paraId="207FB5A8">
      <w:pPr>
        <w:pStyle w:val="12"/>
        <w:widowControl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切实保障教育机会公平。</w:t>
      </w:r>
      <w:r>
        <w:rPr>
          <w:rFonts w:hint="eastAsia" w:ascii="Times New Roman" w:hAnsi="Times New Roman" w:eastAsia="仿宋_GB2312" w:cs="宋体"/>
          <w:kern w:val="0"/>
          <w:sz w:val="32"/>
          <w:szCs w:val="32"/>
        </w:rPr>
        <w:t>着力解决农村留守学生、进城务工人员子女等困难群体接受教育机会公平。新建一所特殊教育学校，切实保障残障群体受教育权利。提高教育资助政策精准度，充分利用奖学金、助学金等多种形式，继续完善和提高城乡贫困学生群体的资助标准和比例。</w:t>
      </w:r>
      <w:r>
        <w:rPr>
          <w:rFonts w:ascii="Times New Roman" w:hAnsi="Times New Roman" w:eastAsia="仿宋_GB2312" w:cs="宋体"/>
          <w:kern w:val="0"/>
          <w:sz w:val="32"/>
          <w:szCs w:val="32"/>
        </w:rPr>
        <w:t xml:space="preserve"> </w:t>
      </w:r>
    </w:p>
    <w:p w14:paraId="3FDA7B50">
      <w:pPr>
        <w:pStyle w:val="12"/>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bCs/>
          <w:kern w:val="0"/>
          <w:sz w:val="32"/>
          <w:szCs w:val="32"/>
        </w:rPr>
        <w:t>扩大优质教育覆盖面。</w:t>
      </w:r>
      <w:r>
        <w:rPr>
          <w:rFonts w:hint="eastAsia" w:ascii="Times New Roman" w:hAnsi="Times New Roman" w:eastAsia="仿宋_GB2312" w:cs="宋体"/>
          <w:kern w:val="0"/>
          <w:sz w:val="32"/>
          <w:szCs w:val="32"/>
        </w:rPr>
        <w:t>进一步深化“区管校用”改革，加强农村教师队伍建设，完善教师交流机制，着力引导城区优秀干部和骨干教师向农村薄弱学校流动，优化农村薄弱学校师资配置，不断提高城乡义务教育学校师资均衡水平。</w:t>
      </w:r>
      <w:r>
        <w:rPr>
          <w:rFonts w:ascii="Times New Roman" w:hAnsi="Times New Roman" w:eastAsia="仿宋_GB2312" w:cs="宋体"/>
          <w:kern w:val="0"/>
          <w:sz w:val="32"/>
          <w:szCs w:val="32"/>
        </w:rPr>
        <w:t xml:space="preserve"> </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03214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000" w:type="pct"/>
          </w:tcPr>
          <w:p w14:paraId="3122EE98">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2</w:t>
            </w:r>
            <w:r>
              <w:rPr>
                <w:rFonts w:ascii="Times New Roman" w:hAnsi="Times New Roman" w:eastAsia="黑体"/>
                <w:sz w:val="28"/>
                <w:szCs w:val="28"/>
              </w:rPr>
              <w:t xml:space="preserve"> </w:t>
            </w:r>
            <w:r>
              <w:rPr>
                <w:rFonts w:hint="eastAsia" w:ascii="Times New Roman" w:hAnsi="Times New Roman" w:eastAsia="黑体"/>
                <w:sz w:val="28"/>
                <w:szCs w:val="28"/>
              </w:rPr>
              <w:t>金台教育重大项目</w:t>
            </w:r>
          </w:p>
        </w:tc>
      </w:tr>
      <w:tr w14:paraId="31D5D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794CD6B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1.学前教育基础设施建设项目。</w:t>
            </w:r>
            <w:r>
              <w:rPr>
                <w:rFonts w:hint="eastAsia" w:ascii="仿宋_GB2312" w:hAnsi="仿宋_GB2312" w:eastAsia="仿宋_GB2312" w:cs="仿宋_GB2312"/>
                <w:sz w:val="28"/>
                <w:szCs w:val="28"/>
              </w:rPr>
              <w:t>新建福临堡幼儿园、金陵湾幼儿园、龙丰苑幼儿园、行政中心幼儿园、宝平路幼儿园、蟠龙新区</w:t>
            </w:r>
            <w:r>
              <w:rPr>
                <w:rFonts w:hint="eastAsia" w:ascii="仿宋_GB2312" w:hAnsi="仿宋_GB2312" w:eastAsia="仿宋_GB2312" w:cs="仿宋_GB2312"/>
                <w:sz w:val="28"/>
                <w:szCs w:val="28"/>
                <w:lang w:eastAsia="zh-CN"/>
              </w:rPr>
              <w:t>第一，</w:t>
            </w:r>
            <w:r>
              <w:rPr>
                <w:rFonts w:hint="eastAsia" w:ascii="仿宋_GB2312" w:hAnsi="仿宋_GB2312" w:eastAsia="仿宋_GB2312" w:cs="仿宋_GB2312"/>
                <w:sz w:val="28"/>
                <w:szCs w:val="28"/>
              </w:rPr>
              <w:t>第二第三、</w:t>
            </w:r>
            <w:r>
              <w:rPr>
                <w:rFonts w:hint="eastAsia" w:ascii="仿宋_GB2312" w:hAnsi="仿宋_GB2312" w:eastAsia="仿宋_GB2312" w:cs="仿宋_GB2312"/>
                <w:sz w:val="28"/>
                <w:szCs w:val="28"/>
                <w:lang w:eastAsia="zh-CN"/>
              </w:rPr>
              <w:t>第四，</w:t>
            </w:r>
            <w:r>
              <w:rPr>
                <w:rFonts w:hint="eastAsia" w:ascii="仿宋_GB2312" w:hAnsi="仿宋_GB2312" w:eastAsia="仿宋_GB2312" w:cs="仿宋_GB2312"/>
                <w:sz w:val="28"/>
                <w:szCs w:val="28"/>
              </w:rPr>
              <w:t>第五幼儿园等及设施设备，投资约6.7亿元。</w:t>
            </w:r>
          </w:p>
          <w:p w14:paraId="0F03B923">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2.金台区小学建设项目。</w:t>
            </w:r>
            <w:r>
              <w:rPr>
                <w:rFonts w:hint="eastAsia" w:ascii="仿宋_GB2312" w:hAnsi="仿宋_GB2312" w:eastAsia="仿宋_GB2312" w:cs="仿宋_GB2312"/>
                <w:sz w:val="28"/>
                <w:szCs w:val="28"/>
              </w:rPr>
              <w:t>改扩建陈仓路小学、建设五星小学、卧龙寺小学、陈仓园小学、蟠龙二小，投资约</w:t>
            </w:r>
            <w:r>
              <w:rPr>
                <w:rFonts w:ascii="仿宋_GB2312" w:hAnsi="仿宋_GB2312" w:eastAsia="仿宋_GB2312" w:cs="仿宋_GB2312"/>
                <w:sz w:val="28"/>
                <w:szCs w:val="28"/>
              </w:rPr>
              <w:t>6.3</w:t>
            </w:r>
            <w:r>
              <w:rPr>
                <w:rFonts w:hint="eastAsia" w:ascii="仿宋_GB2312" w:hAnsi="仿宋_GB2312" w:eastAsia="仿宋_GB2312" w:cs="仿宋_GB2312"/>
                <w:sz w:val="28"/>
                <w:szCs w:val="28"/>
              </w:rPr>
              <w:t>亿元。</w:t>
            </w:r>
          </w:p>
          <w:p w14:paraId="3F60C704">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3.金台区中学建设项目。</w:t>
            </w:r>
            <w:r>
              <w:rPr>
                <w:rFonts w:hint="eastAsia" w:ascii="仿宋_GB2312" w:hAnsi="仿宋_GB2312" w:eastAsia="仿宋_GB2312" w:cs="仿宋_GB2312"/>
                <w:sz w:val="28"/>
                <w:szCs w:val="28"/>
              </w:rPr>
              <w:t>建设陈仓园初中、蟠龙高中、蟠龙第四中学、新希望中学二期，投资约</w:t>
            </w:r>
            <w:r>
              <w:rPr>
                <w:rFonts w:ascii="仿宋_GB2312" w:hAnsi="仿宋_GB2312" w:eastAsia="仿宋_GB2312" w:cs="仿宋_GB2312"/>
                <w:sz w:val="28"/>
                <w:szCs w:val="28"/>
              </w:rPr>
              <w:t>6</w:t>
            </w:r>
            <w:r>
              <w:rPr>
                <w:rFonts w:hint="eastAsia" w:ascii="仿宋_GB2312" w:hAnsi="仿宋_GB2312" w:eastAsia="仿宋_GB2312" w:cs="仿宋_GB2312"/>
                <w:sz w:val="28"/>
                <w:szCs w:val="28"/>
              </w:rPr>
              <w:t>亿元。</w:t>
            </w:r>
          </w:p>
          <w:p w14:paraId="1EEE1F77">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4.陕西师范大学蟠龙实验学校。</w:t>
            </w:r>
            <w:r>
              <w:rPr>
                <w:rFonts w:hint="eastAsia" w:ascii="仿宋_GB2312" w:hAnsi="仿宋_GB2312" w:eastAsia="仿宋_GB2312" w:cs="仿宋_GB2312"/>
                <w:sz w:val="28"/>
                <w:szCs w:val="28"/>
              </w:rPr>
              <w:t>包括可满足学生常规教育教学的校舍、运动场、风雨操场外，餐厅、宿舍、综合报告厅等，投资约3亿元。</w:t>
            </w:r>
          </w:p>
          <w:p w14:paraId="282600E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5.北京师范大学宝鸡实验学校。</w:t>
            </w:r>
            <w:r>
              <w:rPr>
                <w:rFonts w:hint="eastAsia" w:ascii="仿宋_GB2312" w:hAnsi="仿宋_GB2312" w:eastAsia="仿宋_GB2312" w:cs="仿宋_GB2312"/>
                <w:sz w:val="28"/>
                <w:szCs w:val="28"/>
              </w:rPr>
              <w:t>含幼儿园、小学、初级中学、高级中学，投资约8亿元。</w:t>
            </w:r>
          </w:p>
          <w:p w14:paraId="5C3A4D59">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6.金台区蟠龙国际双语学校：</w:t>
            </w:r>
            <w:r>
              <w:rPr>
                <w:rFonts w:hint="eastAsia" w:ascii="仿宋_GB2312" w:hAnsi="仿宋_GB2312" w:eastAsia="仿宋_GB2312" w:cs="仿宋_GB2312"/>
                <w:sz w:val="28"/>
                <w:szCs w:val="28"/>
              </w:rPr>
              <w:t>建设国际双语幼儿园、小学、初中、高中等，投资约</w:t>
            </w:r>
            <w:r>
              <w:rPr>
                <w:rFonts w:ascii="仿宋_GB2312" w:hAnsi="仿宋_GB2312" w:eastAsia="仿宋_GB2312" w:cs="仿宋_GB2312"/>
                <w:sz w:val="28"/>
                <w:szCs w:val="28"/>
              </w:rPr>
              <w:t>6亿元。</w:t>
            </w:r>
          </w:p>
          <w:p w14:paraId="5CC0C652">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7</w:t>
            </w:r>
            <w:r>
              <w:rPr>
                <w:rFonts w:hint="eastAsia" w:ascii="仿宋_GB2312" w:hAnsi="仿宋_GB2312" w:eastAsia="仿宋_GB2312" w:cs="仿宋_GB2312"/>
                <w:b/>
                <w:sz w:val="28"/>
                <w:szCs w:val="28"/>
              </w:rPr>
              <w:t>.陕西机电职业技术学院迁建项目。</w:t>
            </w:r>
            <w:r>
              <w:rPr>
                <w:rFonts w:hint="eastAsia" w:ascii="仿宋_GB2312" w:hAnsi="仿宋_GB2312" w:eastAsia="仿宋_GB2312" w:cs="仿宋_GB2312"/>
                <w:sz w:val="28"/>
                <w:szCs w:val="28"/>
              </w:rPr>
              <w:t>新建教学楼、行政楼、田径运动场、室内体育馆、餐厅、学生宿舍等，投资约8亿元。</w:t>
            </w:r>
          </w:p>
          <w:p w14:paraId="7EE311A1">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8</w:t>
            </w:r>
            <w:r>
              <w:rPr>
                <w:rFonts w:hint="eastAsia" w:ascii="仿宋_GB2312" w:hAnsi="仿宋_GB2312" w:eastAsia="仿宋_GB2312" w:cs="仿宋_GB2312"/>
                <w:b/>
                <w:sz w:val="28"/>
                <w:szCs w:val="28"/>
              </w:rPr>
              <w:t>.龙泉中学迁建项目。</w:t>
            </w:r>
            <w:r>
              <w:rPr>
                <w:rFonts w:hint="eastAsia" w:ascii="仿宋_GB2312" w:hAnsi="仿宋_GB2312" w:eastAsia="仿宋_GB2312" w:cs="仿宋_GB2312"/>
                <w:sz w:val="28"/>
                <w:szCs w:val="28"/>
              </w:rPr>
              <w:t>建设教学综合楼一栋、风雨操场综合楼一栋，配套建设室外运动场及附属设备，投资约2.6亿元。</w:t>
            </w:r>
          </w:p>
          <w:p w14:paraId="5BBF448F">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9</w:t>
            </w:r>
            <w:r>
              <w:rPr>
                <w:rFonts w:hint="eastAsia" w:ascii="仿宋_GB2312" w:hAnsi="仿宋_GB2312" w:eastAsia="仿宋_GB2312" w:cs="仿宋_GB2312"/>
                <w:b/>
                <w:sz w:val="28"/>
                <w:szCs w:val="28"/>
              </w:rPr>
              <w:t>.宝鸡文德中学扩建项目。</w:t>
            </w:r>
            <w:r>
              <w:rPr>
                <w:rFonts w:hint="eastAsia" w:ascii="仿宋_GB2312" w:hAnsi="仿宋_GB2312" w:eastAsia="仿宋_GB2312" w:cs="仿宋_GB2312"/>
                <w:sz w:val="28"/>
                <w:szCs w:val="28"/>
              </w:rPr>
              <w:t>新建教学楼、学生公寓各两</w:t>
            </w:r>
            <w:r>
              <w:rPr>
                <w:rFonts w:hint="eastAsia" w:ascii="仿宋_GB2312" w:hAnsi="仿宋_GB2312" w:eastAsia="仿宋_GB2312" w:cs="仿宋_GB2312"/>
                <w:spacing w:val="-8"/>
                <w:sz w:val="28"/>
                <w:szCs w:val="28"/>
              </w:rPr>
              <w:t>栋，综合实验楼、艺术楼、后勤楼各一栋，标准足球场一个</w:t>
            </w:r>
            <w:r>
              <w:rPr>
                <w:rFonts w:hint="eastAsia" w:ascii="仿宋_GB2312" w:hAnsi="仿宋_GB2312" w:eastAsia="仿宋_GB2312" w:cs="仿宋_GB2312"/>
                <w:sz w:val="28"/>
                <w:szCs w:val="28"/>
              </w:rPr>
              <w:t>，投资约3亿元</w:t>
            </w:r>
            <w:r>
              <w:rPr>
                <w:rFonts w:hint="eastAsia" w:ascii="仿宋_GB2312" w:hAnsi="仿宋_GB2312" w:eastAsia="仿宋_GB2312" w:cs="仿宋_GB2312"/>
                <w:spacing w:val="-8"/>
                <w:sz w:val="28"/>
                <w:szCs w:val="28"/>
              </w:rPr>
              <w:t>。</w:t>
            </w:r>
          </w:p>
          <w:p w14:paraId="542B777D">
            <w:pPr>
              <w:adjustRightInd w:val="0"/>
              <w:snapToGrid w:val="0"/>
              <w:spacing w:line="400" w:lineRule="exact"/>
              <w:ind w:firstLine="562" w:firstLineChars="200"/>
              <w:jc w:val="both"/>
              <w:rPr>
                <w:rFonts w:ascii="Times New Roman" w:hAnsi="Times New Roman" w:eastAsia="仿宋_GB2312"/>
                <w:sz w:val="24"/>
                <w:szCs w:val="24"/>
              </w:rPr>
            </w:pPr>
            <w:r>
              <w:rPr>
                <w:rFonts w:ascii="仿宋_GB2312" w:hAnsi="仿宋_GB2312" w:eastAsia="仿宋_GB2312" w:cs="仿宋_GB2312"/>
                <w:b/>
                <w:sz w:val="28"/>
                <w:szCs w:val="28"/>
              </w:rPr>
              <w:t>10</w:t>
            </w:r>
            <w:r>
              <w:rPr>
                <w:rFonts w:hint="eastAsia" w:ascii="仿宋_GB2312" w:hAnsi="仿宋_GB2312" w:eastAsia="仿宋_GB2312" w:cs="仿宋_GB2312"/>
                <w:b/>
                <w:sz w:val="28"/>
                <w:szCs w:val="28"/>
              </w:rPr>
              <w:t>.创建陕西省智慧教育示范区建设项目。</w:t>
            </w:r>
            <w:r>
              <w:rPr>
                <w:rFonts w:hint="eastAsia" w:ascii="仿宋_GB2312" w:hAnsi="仿宋_GB2312" w:eastAsia="仿宋_GB2312" w:cs="仿宋_GB2312"/>
                <w:sz w:val="28"/>
                <w:szCs w:val="28"/>
              </w:rPr>
              <w:t>建设全区68所中小学、幼儿园智慧课堂建设，配备相关设备，投资约5亿元。</w:t>
            </w:r>
          </w:p>
        </w:tc>
      </w:tr>
    </w:tbl>
    <w:p w14:paraId="094780FC">
      <w:pPr>
        <w:pStyle w:val="8"/>
        <w:ind w:firstLine="0" w:firstLineChars="0"/>
      </w:pPr>
    </w:p>
    <w:p w14:paraId="555F6C3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2" w:name="_Toc66442996"/>
      <w:r>
        <w:rPr>
          <w:rFonts w:hint="eastAsia" w:ascii="Times New Roman" w:hAnsi="Times New Roman" w:cs="宋体"/>
          <w:bCs w:val="0"/>
          <w:sz w:val="32"/>
          <w:szCs w:val="24"/>
        </w:rPr>
        <w:t>第二节 持续提升全民健康水平</w:t>
      </w:r>
      <w:bookmarkEnd w:id="312"/>
    </w:p>
    <w:p w14:paraId="4BF021FD">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继续完善医疗服务体系</w:t>
      </w:r>
    </w:p>
    <w:p w14:paraId="141468AE">
      <w:pPr>
        <w:widowControl w:val="0"/>
        <w:adjustRightInd w:val="0"/>
        <w:snapToGrid w:val="0"/>
        <w:spacing w:line="560" w:lineRule="exact"/>
        <w:ind w:firstLine="640" w:firstLineChars="200"/>
        <w:jc w:val="both"/>
        <w:rPr>
          <w:rFonts w:ascii="Times New Roman" w:hAnsi="Times New Roman" w:eastAsia="仿宋_GB2312" w:cs="宋体"/>
          <w:b/>
          <w:kern w:val="0"/>
          <w:sz w:val="32"/>
          <w:szCs w:val="32"/>
        </w:rPr>
      </w:pPr>
      <w:r>
        <w:rPr>
          <w:rFonts w:hint="eastAsia" w:ascii="Times New Roman" w:hAnsi="Times New Roman" w:eastAsia="仿宋_GB2312" w:cs="宋体"/>
          <w:kern w:val="0"/>
          <w:sz w:val="32"/>
          <w:szCs w:val="32"/>
        </w:rPr>
        <w:t>扩大优质医疗覆盖面，完善区</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镇（街）</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村（社区）三级医疗服务体系。合理调整医疗卫生资源配置，逐步建立分级诊疗和双向转诊制度，形成综合医院和专科医院、公立医疗机构和民营医疗机构错位发展、互为补充的医疗卫生服务体系。整合医疗卫生资源，促进卫生资源配置重心下移。继续深入实施中医药服务能力提升工程，积极支持和引导社会资本发展医疗卫生事业。</w:t>
      </w:r>
    </w:p>
    <w:p w14:paraId="1E84DE83">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优化医疗资源结构和布局</w:t>
      </w:r>
    </w:p>
    <w:p w14:paraId="1077EB45">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优化城乡公立医院布局，加大蟠龙高新区及城市郊区医疗资源配置。新建宝鸡市中医医院分院，高标准建设宝鸡市第二人民医院医养结合楼、教学楼，续建蟠龙高新区交大蟠龙医院，扩建金台医院，实施城镇卫生院医疗设施提升工程。鼓励社会力量举办医疗机构，落实社会办医扶持政策，优化审批服务。</w:t>
      </w:r>
    </w:p>
    <w:p w14:paraId="2F83F130">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推进医药服务供给侧</w:t>
      </w:r>
      <w:r>
        <w:rPr>
          <w:rFonts w:hint="eastAsia" w:eastAsia="楷体"/>
          <w:lang w:val="en-US" w:eastAsia="zh-CN"/>
        </w:rPr>
        <w:t>结构性</w:t>
      </w:r>
      <w:r>
        <w:rPr>
          <w:rFonts w:hint="eastAsia" w:eastAsia="楷体"/>
        </w:rPr>
        <w:t>改革</w:t>
      </w:r>
    </w:p>
    <w:p w14:paraId="0EE4BD79">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规范医疗主体行为，加大对医疗机构和医务人员行为的监督管理，规范医疗机构和医务人员诊疗行为，统筹推进医疗管理体制、运行机制、服务价格、绩效分配等综合性改革。深化药品、医用耗材集中带量采购制度改革，全面实行药品、医用耗材集中带量采购。坚持医疗、医保、医药“三医联动”，巩固“八类健康细胞”建设成果。</w:t>
      </w:r>
    </w:p>
    <w:p w14:paraId="0188F3CD">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提升公共卫生服务质量</w:t>
      </w:r>
    </w:p>
    <w:p w14:paraId="7364AAE2">
      <w:pPr>
        <w:widowControl w:val="0"/>
        <w:adjustRightInd w:val="0"/>
        <w:snapToGrid w:val="0"/>
        <w:spacing w:line="560" w:lineRule="exact"/>
        <w:ind w:firstLine="640" w:firstLineChars="200"/>
        <w:jc w:val="both"/>
        <w:rPr>
          <w:rFonts w:ascii="Times New Roman" w:hAnsi="Times New Roman" w:eastAsia="仿宋_GB2312" w:cs="宋体"/>
          <w:bCs/>
          <w:kern w:val="0"/>
          <w:sz w:val="32"/>
          <w:szCs w:val="32"/>
        </w:rPr>
      </w:pPr>
      <w:r>
        <w:rPr>
          <w:rFonts w:hint="eastAsia" w:ascii="Times New Roman" w:hAnsi="Times New Roman" w:eastAsia="仿宋_GB2312" w:cs="宋体"/>
          <w:kern w:val="0"/>
          <w:sz w:val="32"/>
          <w:szCs w:val="32"/>
        </w:rPr>
        <w:t>提升公共卫生和重大疫情防控救治服务质量，强化常态化疫情管控，提升传染病疫情监测能力</w:t>
      </w:r>
      <w:r>
        <w:rPr>
          <w:rFonts w:hint="eastAsia" w:ascii="Times New Roman" w:hAnsi="Times New Roman" w:eastAsia="仿宋_GB2312" w:cs="宋体"/>
          <w:bCs/>
          <w:kern w:val="0"/>
          <w:sz w:val="32"/>
          <w:szCs w:val="32"/>
        </w:rPr>
        <w:t>，形成有效防控地方病、重大疾病和突发公共卫生事件的长效体系。制定中医药事业发展政策措施，加强基层中医药服务网络、人才队伍建设，提升中医医疗服务，发挥中医药作用。</w:t>
      </w:r>
      <w:r>
        <w:rPr>
          <w:rFonts w:hint="eastAsia" w:ascii="Times New Roman" w:hAnsi="Times New Roman" w:eastAsia="仿宋_GB2312" w:cs="宋体"/>
          <w:kern w:val="0"/>
          <w:sz w:val="32"/>
          <w:szCs w:val="32"/>
        </w:rPr>
        <w:t>建立常态化医疗应急物资生产、保障、储备、物流配送机制。加强区疾控机构基础建设，增加心理卫生、健康教育等专业人员，使专业技术人员配置更加合理。改善城乡公共卫生环境，加强农村、社区等公共卫生服务，</w:t>
      </w:r>
      <w:r>
        <w:rPr>
          <w:rFonts w:hint="eastAsia" w:ascii="Times New Roman" w:hAnsi="Times New Roman" w:eastAsia="仿宋_GB2312" w:cs="宋体"/>
          <w:bCs/>
          <w:kern w:val="0"/>
          <w:sz w:val="32"/>
          <w:szCs w:val="32"/>
        </w:rPr>
        <w:t>定期开展卫生死角清理、灭蚊灭蝇等病媒</w:t>
      </w:r>
      <w:r>
        <w:rPr>
          <w:rFonts w:hint="eastAsia" w:ascii="Times New Roman" w:hAnsi="Times New Roman" w:eastAsia="仿宋_GB2312" w:cs="宋体"/>
          <w:bCs/>
          <w:kern w:val="0"/>
          <w:sz w:val="32"/>
          <w:szCs w:val="32"/>
          <w:lang w:eastAsia="zh-CN"/>
        </w:rPr>
        <w:t>生物防治</w:t>
      </w:r>
      <w:r>
        <w:rPr>
          <w:rFonts w:hint="eastAsia" w:ascii="Times New Roman" w:hAnsi="Times New Roman" w:eastAsia="仿宋_GB2312" w:cs="宋体"/>
          <w:bCs/>
          <w:kern w:val="0"/>
          <w:sz w:val="32"/>
          <w:szCs w:val="32"/>
        </w:rPr>
        <w:t>工作。</w:t>
      </w:r>
    </w:p>
    <w:p w14:paraId="4B38E105">
      <w:pPr>
        <w:pStyle w:val="5"/>
        <w:keepNext w:val="0"/>
        <w:keepLines w:val="0"/>
        <w:numPr>
          <w:ilvl w:val="0"/>
          <w:numId w:val="29"/>
        </w:numPr>
        <w:adjustRightInd w:val="0"/>
        <w:snapToGrid w:val="0"/>
        <w:spacing w:before="0" w:after="0" w:line="600" w:lineRule="exact"/>
        <w:ind w:firstLine="643" w:firstLineChars="200"/>
        <w:rPr>
          <w:rFonts w:eastAsia="楷体"/>
        </w:rPr>
      </w:pPr>
      <w:r>
        <w:rPr>
          <w:rFonts w:hint="eastAsia" w:eastAsia="楷体"/>
        </w:rPr>
        <w:t>提高人口管理与服务水平</w:t>
      </w:r>
    </w:p>
    <w:p w14:paraId="29713AF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人口综合服务，加强流动人口均等化服务管理，提升全区妇幼卫生水平，提高出生人口素质。加强妇幼健康服务工作，完善妇幼健康服务体系建设。依法维护妇女、儿童、老年人、退役军人、残疾人等群体的合法权益，建设残障人康复中心。全面做好惠民殡葬改革，推进婚俗改革。</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1366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000" w:type="pct"/>
          </w:tcPr>
          <w:p w14:paraId="3C430521">
            <w:pPr>
              <w:adjustRightInd w:val="0"/>
              <w:snapToGrid w:val="0"/>
              <w:spacing w:line="400" w:lineRule="exact"/>
              <w:jc w:val="center"/>
              <w:rPr>
                <w:rFonts w:ascii="Times New Roman" w:hAnsi="Times New Roman" w:eastAsia="黑体"/>
                <w:sz w:val="28"/>
                <w:szCs w:val="28"/>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3</w:t>
            </w:r>
            <w:r>
              <w:rPr>
                <w:rFonts w:ascii="Times New Roman" w:hAnsi="Times New Roman" w:eastAsia="黑体"/>
                <w:sz w:val="28"/>
                <w:szCs w:val="28"/>
              </w:rPr>
              <w:t xml:space="preserve"> </w:t>
            </w:r>
            <w:r>
              <w:rPr>
                <w:rFonts w:hint="eastAsia" w:ascii="Times New Roman" w:hAnsi="Times New Roman" w:eastAsia="黑体"/>
                <w:sz w:val="28"/>
                <w:szCs w:val="28"/>
              </w:rPr>
              <w:t>金台医疗卫生重大项目</w:t>
            </w:r>
          </w:p>
        </w:tc>
      </w:tr>
      <w:tr w14:paraId="3726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000" w:type="pct"/>
          </w:tcPr>
          <w:p w14:paraId="7176BE6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1.宝鸡市中医医院分院建设项目。</w:t>
            </w:r>
            <w:r>
              <w:rPr>
                <w:rFonts w:hint="eastAsia" w:ascii="仿宋_GB2312" w:hAnsi="仿宋_GB2312" w:eastAsia="仿宋_GB2312" w:cs="仿宋_GB2312"/>
                <w:sz w:val="28"/>
                <w:szCs w:val="28"/>
              </w:rPr>
              <w:t>建设门诊楼、住院楼、药剂楼、培训实训楼、后勤保障楼及配套建设室外管网、场地道路硬化、污水处理等附属设施，投资约8.2亿元。</w:t>
            </w:r>
          </w:p>
          <w:p w14:paraId="4E4573A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2.宝鸡市第二、第三人民医院综合楼、培训楼建设项目。</w:t>
            </w:r>
            <w:r>
              <w:rPr>
                <w:rFonts w:hint="eastAsia" w:ascii="仿宋_GB2312" w:hAnsi="仿宋_GB2312" w:eastAsia="仿宋_GB2312" w:cs="仿宋_GB2312"/>
                <w:sz w:val="28"/>
                <w:szCs w:val="28"/>
              </w:rPr>
              <w:t>新建综合楼、培训楼等及基础配套设施，投资约4.5亿元。</w:t>
            </w:r>
          </w:p>
          <w:p w14:paraId="303B9C7F">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3.基层卫生院医疗设施提升项目。</w:t>
            </w:r>
            <w:r>
              <w:rPr>
                <w:rFonts w:hint="eastAsia" w:ascii="仿宋_GB2312" w:hAnsi="仿宋_GB2312" w:eastAsia="仿宋_GB2312" w:cs="仿宋_GB2312"/>
                <w:sz w:val="28"/>
                <w:szCs w:val="28"/>
              </w:rPr>
              <w:t>对全区卫生院的门诊病房、传染科进行改造；配套建设给排水，电力等设施，投资约0.5亿元。</w:t>
            </w:r>
          </w:p>
          <w:p w14:paraId="293FFBBD">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4.金台医院蟠龙高新医院项目。</w:t>
            </w:r>
            <w:r>
              <w:rPr>
                <w:rFonts w:hint="eastAsia" w:ascii="仿宋_GB2312" w:hAnsi="仿宋_GB2312" w:eastAsia="仿宋_GB2312" w:cs="仿宋_GB2312"/>
                <w:sz w:val="28"/>
                <w:szCs w:val="28"/>
              </w:rPr>
              <w:t>设置床位1000张，配套水电路等设施及设备购置，投资约3.55亿元。</w:t>
            </w:r>
          </w:p>
        </w:tc>
      </w:tr>
    </w:tbl>
    <w:p w14:paraId="0A8DFD3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3" w:name="_Toc66442997"/>
      <w:bookmarkStart w:id="314" w:name="_Toc50988087"/>
      <w:bookmarkStart w:id="315" w:name="_Toc53863318"/>
      <w:bookmarkStart w:id="316" w:name="_Toc50988339"/>
      <w:bookmarkStart w:id="317" w:name="_Toc50710123"/>
      <w:r>
        <w:rPr>
          <w:rFonts w:hint="eastAsia" w:ascii="Times New Roman" w:hAnsi="Times New Roman" w:cs="宋体"/>
          <w:bCs w:val="0"/>
          <w:sz w:val="32"/>
          <w:szCs w:val="24"/>
        </w:rPr>
        <w:t>第三节 不断提高社会保障水平</w:t>
      </w:r>
      <w:bookmarkEnd w:id="313"/>
    </w:p>
    <w:p w14:paraId="49ADBA90">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完善就业创业服务体系</w:t>
      </w:r>
    </w:p>
    <w:p w14:paraId="01B70437">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围绕产业结构调整、重大产业项目建设，开发多元化、多层次的就业岗位。开展人社服务快办行动，推广应用“秦云就业”小程序，全面落实“清、减、压”工作举措,开展精准就业服务。落实创业融资支持、创业孵化和跟踪服务等举措，充分发挥大数据园产业平台、蟠龙就业创业孵化基地功能，促进不同人群开展创业。因地制宜通过田间课堂、农民夜校等方式开展短期技能培训，完善退役军人定向就业培训方式。把公益性岗位作为就业兜底保障底线，妥善安置“三无”劳动力，实现家门口就业。坚持劳动监察与劳动仲裁双向发力，全面落实《</w:t>
      </w:r>
      <w:r>
        <w:rPr>
          <w:rFonts w:hint="eastAsia" w:ascii="Times New Roman" w:hAnsi="Times New Roman" w:eastAsia="仿宋_GB2312" w:cs="宋体"/>
          <w:kern w:val="0"/>
          <w:sz w:val="32"/>
          <w:szCs w:val="32"/>
          <w:lang w:eastAsia="zh-CN"/>
        </w:rPr>
        <w:t>保障农民工工资支付条例</w:t>
      </w:r>
      <w:r>
        <w:rPr>
          <w:rFonts w:hint="eastAsia" w:ascii="Times New Roman" w:hAnsi="Times New Roman" w:eastAsia="仿宋_GB2312" w:cs="宋体"/>
          <w:kern w:val="0"/>
          <w:sz w:val="32"/>
          <w:szCs w:val="32"/>
        </w:rPr>
        <w:t>》，强化源头治理，加强执法联动，切实保障农民工合法权益，巩固构建和谐劳动关系，</w:t>
      </w:r>
      <w:r>
        <w:rPr>
          <w:rFonts w:hint="eastAsia" w:ascii="仿宋_GB2312" w:hAnsi="仿宋_GB2312" w:eastAsia="仿宋_GB2312" w:cs="仿宋_GB2312"/>
          <w:sz w:val="32"/>
          <w:szCs w:val="32"/>
        </w:rPr>
        <w:t>倾力打造“就业宝鸡、首选金台”就业创业服务品牌。</w:t>
      </w:r>
    </w:p>
    <w:p w14:paraId="7017D23A">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完善基本社会保险</w:t>
      </w:r>
    </w:p>
    <w:p w14:paraId="1B1161C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仿宋_GB2312" w:hAnsi="仿宋_GB2312" w:eastAsia="仿宋_GB2312" w:cs="仿宋_GB2312"/>
          <w:kern w:val="0"/>
          <w:sz w:val="32"/>
          <w:szCs w:val="32"/>
        </w:rPr>
        <w:t>严格落实养老保险、医疗保险等制度，发展职业年金、企业年金、商业养老保险。积极探索建立多层次养老保险体系，进一步缩小城乡社保待遇差异。做好基本社会保险扩面征缴工作，落实公共财政对城乡居民参加养老和医疗保险补贴责任，全面实施城乡居民大病保险制度。落实基本养老金、失业保险金待遇调整政策，继续提高企业退休人员基本养老金水平，适当扩大失业保险基金支出范围，逐步提高基本医疗保险统筹基金和最高支付限额。到2025年，基本社会保险覆盖率达100%。</w:t>
      </w:r>
      <w:r>
        <w:rPr>
          <w:rFonts w:ascii="Times New Roman" w:hAnsi="Times New Roman" w:eastAsia="仿宋_GB2312" w:cs="宋体"/>
          <w:kern w:val="0"/>
          <w:sz w:val="32"/>
          <w:szCs w:val="32"/>
        </w:rPr>
        <w:t xml:space="preserve"> </w:t>
      </w:r>
    </w:p>
    <w:p w14:paraId="31E15AB4">
      <w:pPr>
        <w:pStyle w:val="8"/>
      </w:pPr>
    </w:p>
    <w:p w14:paraId="7A6C6399">
      <w:pPr>
        <w:pStyle w:val="5"/>
        <w:keepNext w:val="0"/>
        <w:keepLines w:val="0"/>
        <w:numPr>
          <w:ilvl w:val="0"/>
          <w:numId w:val="30"/>
        </w:numPr>
        <w:adjustRightInd w:val="0"/>
        <w:snapToGrid w:val="0"/>
        <w:spacing w:before="0" w:after="0" w:line="600" w:lineRule="exact"/>
        <w:ind w:firstLine="643" w:firstLineChars="200"/>
        <w:rPr>
          <w:rFonts w:eastAsia="楷体"/>
        </w:rPr>
      </w:pPr>
      <w:r>
        <w:rPr>
          <w:rFonts w:hint="eastAsia" w:eastAsia="楷体"/>
        </w:rPr>
        <w:t>大力发展社会福利事业</w:t>
      </w:r>
    </w:p>
    <w:p w14:paraId="5E2448B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灾害、医疗、教育、住房、司法等专项救助体系。继续落实城乡“三无人员”供养政策，完善自然灾害应急救助体系，健全临时救助制度，扩大社会救助覆盖面。加快构建以基本生活救助、专项社会救助、急难社会救助为主体，社会力量参与为补充的分层分类救助制度体系，健全完善社会救助和保障标准与物价上涨挂钩联动机制。</w:t>
      </w:r>
      <w:r>
        <w:rPr>
          <w:rFonts w:ascii="Times New Roman" w:hAnsi="Times New Roman" w:eastAsia="仿宋_GB2312" w:cs="宋体"/>
          <w:kern w:val="0"/>
          <w:sz w:val="32"/>
          <w:szCs w:val="32"/>
        </w:rPr>
        <w:t xml:space="preserve"> </w:t>
      </w:r>
    </w:p>
    <w:p w14:paraId="08D6BE5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18" w:name="_Toc66442998"/>
      <w:r>
        <w:rPr>
          <w:rFonts w:hint="eastAsia" w:ascii="Times New Roman" w:hAnsi="Times New Roman" w:cs="宋体"/>
          <w:bCs w:val="0"/>
          <w:sz w:val="32"/>
          <w:szCs w:val="24"/>
        </w:rPr>
        <w:t>第四节 大力发展体育事业</w:t>
      </w:r>
      <w:bookmarkEnd w:id="318"/>
    </w:p>
    <w:p w14:paraId="6765F74F">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丰富群众体育生活</w:t>
      </w:r>
    </w:p>
    <w:p w14:paraId="3E72AD56">
      <w:pPr>
        <w:widowControl w:val="0"/>
        <w:adjustRightInd w:val="0"/>
        <w:snapToGrid w:val="0"/>
        <w:spacing w:line="560" w:lineRule="exact"/>
        <w:ind w:firstLine="640" w:firstLineChars="200"/>
        <w:jc w:val="both"/>
        <w:rPr>
          <w:rFonts w:ascii="仿宋_GB2312" w:hAnsi="仿宋_GB2312" w:eastAsia="仿宋_GB2312" w:cs="仿宋_GB2312"/>
          <w:sz w:val="32"/>
          <w:szCs w:val="32"/>
        </w:rPr>
      </w:pPr>
      <w:r>
        <w:rPr>
          <w:rFonts w:hint="eastAsia" w:ascii="仿宋_GB2312" w:hAnsi="仿宋_GB2312" w:eastAsia="仿宋_GB2312" w:cs="仿宋_GB2312"/>
          <w:sz w:val="32"/>
          <w:szCs w:val="32"/>
        </w:rPr>
        <w:t>构建覆盖城乡、功能齐全、可持续发展的基本公共体育服务体系，丰富群众体育事业，开展独具特色的全民健身活动，建设渭河健身长廊，大力发展足球运动，培育一批具有金台文化底蕴和地方特色的全民健身品牌赛事活动。加强全民健身设施建设和管理，推进蟠龙高新区城市运动公园建设，实施渭河团结运动公园智慧升级改造，完善国民体质监测中心建设。实行新建社区体育设施全覆盖，建设城镇社区15分钟健身圈，推动公共体育设施和学校体育场馆向社会开放。</w:t>
      </w:r>
    </w:p>
    <w:p w14:paraId="6D0E0B18">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加强青少年体育活动</w:t>
      </w:r>
    </w:p>
    <w:p w14:paraId="1B7C8022">
      <w:pPr>
        <w:widowControl w:val="0"/>
        <w:adjustRightInd w:val="0"/>
        <w:snapToGrid w:val="0"/>
        <w:spacing w:line="560" w:lineRule="exact"/>
        <w:ind w:firstLine="640" w:firstLineChars="200"/>
        <w:jc w:val="both"/>
        <w:rPr>
          <w:rFonts w:ascii="Times New Roman" w:hAnsi="Times New Roman" w:eastAsia="仿宋_GB2312" w:cs="仿宋_GB2312"/>
          <w:spacing w:val="-2"/>
          <w:sz w:val="32"/>
          <w:szCs w:val="32"/>
        </w:rPr>
      </w:pPr>
      <w:r>
        <w:rPr>
          <w:rFonts w:hint="eastAsia" w:ascii="Times New Roman" w:hAnsi="Times New Roman" w:eastAsia="仿宋_GB2312" w:cs="仿宋_GB2312"/>
          <w:sz w:val="32"/>
          <w:szCs w:val="32"/>
        </w:rPr>
        <w:t>广泛开展中小学生各种拓展训练活动，丰富青少年课余生活，增强技能，提高身体素质。加强与教育部门协同配合，深化“体教融合”，充分发挥各自优势资源，优化文化教育和运动训练条件，推动素质教育和运动训练紧密结合；积极探索各类体育项目</w:t>
      </w:r>
      <w:r>
        <w:rPr>
          <w:rFonts w:hint="eastAsia" w:ascii="Times New Roman" w:hAnsi="Times New Roman" w:eastAsia="仿宋_GB2312" w:cs="仿宋_GB2312"/>
          <w:spacing w:val="-2"/>
          <w:sz w:val="32"/>
          <w:szCs w:val="32"/>
        </w:rPr>
        <w:t>“进校园”，推进学校体育课余训练网络建设；开展阳光体育大会等体育活动，吸引更多青少年参与体育运动。完善青少年体育</w:t>
      </w:r>
      <w:r>
        <w:rPr>
          <w:rFonts w:hint="eastAsia" w:ascii="Times New Roman" w:hAnsi="Times New Roman" w:eastAsia="仿宋_GB2312" w:cs="仿宋_GB2312"/>
          <w:spacing w:val="-4"/>
          <w:sz w:val="32"/>
          <w:szCs w:val="32"/>
        </w:rPr>
        <w:t>竞赛体系，开展年度锦标赛、学生体育联赛，带动各学校广泛开展青少年体育竞赛，组织并参加省中小学生体育联赛。鼓励社会力量成立青少年体育项目协会、俱乐部，积极举办青少年竞赛活动</w:t>
      </w:r>
      <w:r>
        <w:rPr>
          <w:rFonts w:hint="eastAsia" w:ascii="Times New Roman" w:hAnsi="Times New Roman" w:eastAsia="仿宋_GB2312" w:cs="仿宋_GB2312"/>
          <w:spacing w:val="-2"/>
          <w:sz w:val="32"/>
          <w:szCs w:val="32"/>
        </w:rPr>
        <w:t>。</w:t>
      </w:r>
    </w:p>
    <w:p w14:paraId="155B01E5">
      <w:pPr>
        <w:pStyle w:val="5"/>
        <w:keepNext w:val="0"/>
        <w:keepLines w:val="0"/>
        <w:numPr>
          <w:ilvl w:val="0"/>
          <w:numId w:val="31"/>
        </w:numPr>
        <w:adjustRightInd w:val="0"/>
        <w:snapToGrid w:val="0"/>
        <w:spacing w:before="0" w:after="0" w:line="600" w:lineRule="exact"/>
        <w:ind w:firstLine="643" w:firstLineChars="200"/>
        <w:rPr>
          <w:rFonts w:eastAsia="楷体"/>
        </w:rPr>
      </w:pPr>
      <w:r>
        <w:rPr>
          <w:rFonts w:hint="eastAsia" w:eastAsia="楷体"/>
        </w:rPr>
        <w:t>大力繁荣体育产业</w:t>
      </w:r>
    </w:p>
    <w:p w14:paraId="0A6EF05E">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大力发展体育竞赛，深入挖掘太极</w:t>
      </w:r>
      <w:bookmarkStart w:id="319" w:name="_Hlk59993059"/>
      <w:r>
        <w:rPr>
          <w:rFonts w:hint="eastAsia" w:ascii="Times New Roman" w:hAnsi="Times New Roman" w:eastAsia="仿宋_GB2312" w:cs="仿宋_GB2312"/>
          <w:sz w:val="32"/>
          <w:szCs w:val="32"/>
        </w:rPr>
        <w:t>拳</w:t>
      </w:r>
      <w:bookmarkEnd w:id="319"/>
      <w:r>
        <w:rPr>
          <w:rFonts w:hint="eastAsia" w:ascii="Times New Roman" w:hAnsi="Times New Roman" w:eastAsia="仿宋_GB2312" w:cs="仿宋_GB2312"/>
          <w:sz w:val="32"/>
          <w:szCs w:val="32"/>
        </w:rPr>
        <w:t>商业价值，持续打造高水平太极拳交流大会，积极申办城市马拉松、电子竞技等大型国际国内体育赛事，提升知名度，扩大影响力。大力发展体育健身服务业，鼓励社会力量举办健身俱乐部和职业体育俱乐部，为群众提供多元化、个性化体育健身场所和健身、健美、体育专项技能培训等服务。实施“体育</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”战略，促进体育与文化、康养、科技等业态融合发展，积极申办全国武术等赛事活动。</w:t>
      </w:r>
    </w:p>
    <w:bookmarkEnd w:id="314"/>
    <w:bookmarkEnd w:id="315"/>
    <w:bookmarkEnd w:id="316"/>
    <w:bookmarkEnd w:id="317"/>
    <w:p w14:paraId="0C6E613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20" w:name="_Toc50988341"/>
      <w:bookmarkStart w:id="321" w:name="_Toc50988089"/>
      <w:bookmarkStart w:id="322" w:name="_Toc50710125"/>
      <w:bookmarkStart w:id="323" w:name="_Toc66442999"/>
      <w:bookmarkStart w:id="324" w:name="_Toc53863320"/>
      <w:r>
        <w:rPr>
          <w:rFonts w:hint="eastAsia" w:ascii="Times New Roman" w:hAnsi="Times New Roman" w:cs="宋体"/>
          <w:bCs w:val="0"/>
          <w:sz w:val="32"/>
          <w:szCs w:val="24"/>
        </w:rPr>
        <w:t>第五节 完善养老服务体系</w:t>
      </w:r>
      <w:bookmarkEnd w:id="320"/>
      <w:bookmarkEnd w:id="321"/>
      <w:bookmarkEnd w:id="322"/>
      <w:bookmarkEnd w:id="323"/>
      <w:bookmarkEnd w:id="324"/>
    </w:p>
    <w:p w14:paraId="5D80ECA9">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推进新型养老体系建设</w:t>
      </w:r>
    </w:p>
    <w:p w14:paraId="2E5E688D">
      <w:pPr>
        <w:widowControl w:val="0"/>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大力发展老龄事业，全面建成以居家养老为基础、社区养老为依托、机构养老为支撑的城乡养老服务体系，形成完善的城市社区步行15分钟、农村社区步行20分钟的居家养老服务圈。支持医疗卫生资源进入各类养老服务机构、社区居家养老服务照料中心，建立以医疗、护理、康复为基础的医养护一体化服务模式。着力解决老年人面临的数字鸿沟问题，切实保障老年人安全使用智能化产品、享受智能化服务。鼓励社会力量兴办养老机构，搭建全区统一开放的社会化智慧养老服务平台。</w:t>
      </w:r>
    </w:p>
    <w:p w14:paraId="6B598914">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提升社区养老服务水平</w:t>
      </w:r>
    </w:p>
    <w:p w14:paraId="264D1F8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以加强社区养老服务网络建设为着力点，鼓励多元主体兴办老年人生活照料、医疗护理、精神慰藉、紧急救援等服务项目，加快老年养护大楼、养老楼和城市社区日间照料中心项目建设，改造提升养老服务设施。充分发挥社区社会组织、专业社会工作者和志愿者优势，努力为城市老人提供全方位、个性化的服务。按标准配齐城郊新型社区养老设施，不断提升新社区服务水平。</w:t>
      </w:r>
    </w:p>
    <w:p w14:paraId="17DC485B">
      <w:pPr>
        <w:pStyle w:val="5"/>
        <w:keepNext w:val="0"/>
        <w:keepLines w:val="0"/>
        <w:numPr>
          <w:ilvl w:val="0"/>
          <w:numId w:val="32"/>
        </w:numPr>
        <w:adjustRightInd w:val="0"/>
        <w:snapToGrid w:val="0"/>
        <w:spacing w:before="0" w:after="0" w:line="600" w:lineRule="exact"/>
        <w:ind w:firstLine="643" w:firstLineChars="200"/>
        <w:rPr>
          <w:rFonts w:eastAsia="楷体"/>
        </w:rPr>
      </w:pPr>
      <w:r>
        <w:rPr>
          <w:rFonts w:hint="eastAsia" w:eastAsia="楷体"/>
        </w:rPr>
        <w:t>提升农村养老服务水平</w:t>
      </w:r>
    </w:p>
    <w:p w14:paraId="09A2AD1C">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推进农村幸福院升级工程，实现农村幸福院中心村全覆盖。建立健全农村幸福院入院登记、管理服务、饮食卫生、安全保障等规章制度，做好日常管理服务人员培训，确保规范安全运行。采取多种方式筹措资金，解决好人员待遇及日常运转费用问题，确保运行顺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1FA37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420FECEC">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4</w:t>
            </w:r>
            <w:r>
              <w:rPr>
                <w:rFonts w:ascii="Times New Roman" w:hAnsi="Times New Roman" w:eastAsia="黑体"/>
                <w:sz w:val="28"/>
                <w:szCs w:val="28"/>
              </w:rPr>
              <w:t xml:space="preserve"> </w:t>
            </w:r>
            <w:r>
              <w:rPr>
                <w:rFonts w:hint="eastAsia" w:ascii="Times New Roman" w:hAnsi="Times New Roman" w:eastAsia="黑体"/>
                <w:sz w:val="28"/>
                <w:szCs w:val="28"/>
              </w:rPr>
              <w:t>社会保障重大项目</w:t>
            </w:r>
          </w:p>
        </w:tc>
      </w:tr>
      <w:tr w14:paraId="674D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53D4A15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1.金台区养老服务项目。</w:t>
            </w:r>
            <w:r>
              <w:rPr>
                <w:rFonts w:hint="eastAsia" w:ascii="仿宋_GB2312" w:hAnsi="仿宋_GB2312" w:eastAsia="仿宋_GB2312" w:cs="仿宋_GB2312"/>
                <w:spacing w:val="-2"/>
                <w:sz w:val="28"/>
                <w:szCs w:val="28"/>
              </w:rPr>
              <w:t>新建老年养护大楼、养老楼、老年日间照料中心，改造提升养老服务设施及配建基础设施，投资约0.5亿元</w:t>
            </w:r>
            <w:r>
              <w:rPr>
                <w:rFonts w:hint="eastAsia" w:ascii="仿宋_GB2312" w:hAnsi="仿宋_GB2312" w:eastAsia="仿宋_GB2312" w:cs="仿宋_GB2312"/>
                <w:sz w:val="28"/>
                <w:szCs w:val="28"/>
              </w:rPr>
              <w:t>。</w:t>
            </w:r>
          </w:p>
          <w:p w14:paraId="6E6A0DBC">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2.金台区公益性公墓建设项目。</w:t>
            </w:r>
            <w:r>
              <w:rPr>
                <w:rFonts w:hint="eastAsia" w:ascii="仿宋_GB2312" w:hAnsi="仿宋_GB2312" w:eastAsia="仿宋_GB2312" w:cs="仿宋_GB2312"/>
                <w:sz w:val="28"/>
                <w:szCs w:val="28"/>
              </w:rPr>
              <w:t>建设金台区公益性公墓，投资约0.3亿元。</w:t>
            </w:r>
          </w:p>
          <w:p w14:paraId="55423E36">
            <w:pPr>
              <w:adjustRightInd w:val="0"/>
              <w:snapToGrid w:val="0"/>
              <w:spacing w:line="400" w:lineRule="exact"/>
              <w:ind w:firstLine="562" w:firstLineChars="200"/>
              <w:jc w:val="both"/>
              <w:rPr>
                <w:rFonts w:ascii="仿宋_GB2312" w:hAnsi="仿宋_GB2312" w:eastAsia="仿宋_GB2312" w:cs="仿宋_GB2312"/>
                <w:sz w:val="28"/>
                <w:szCs w:val="28"/>
              </w:rPr>
            </w:pPr>
            <w:r>
              <w:rPr>
                <w:rFonts w:ascii="仿宋_GB2312" w:hAnsi="仿宋_GB2312" w:eastAsia="仿宋_GB2312" w:cs="仿宋_GB2312"/>
                <w:b/>
                <w:sz w:val="28"/>
                <w:szCs w:val="28"/>
              </w:rPr>
              <w:t>3</w:t>
            </w:r>
            <w:r>
              <w:rPr>
                <w:rFonts w:hint="eastAsia" w:ascii="仿宋_GB2312" w:hAnsi="仿宋_GB2312" w:eastAsia="仿宋_GB2312" w:cs="仿宋_GB2312"/>
                <w:b/>
                <w:sz w:val="28"/>
                <w:szCs w:val="28"/>
              </w:rPr>
              <w:t>.蟠龙中医养生街项目。</w:t>
            </w:r>
            <w:r>
              <w:rPr>
                <w:rFonts w:hint="eastAsia" w:ascii="仿宋_GB2312" w:hAnsi="仿宋_GB2312" w:eastAsia="仿宋_GB2312" w:cs="仿宋_GB2312"/>
                <w:sz w:val="28"/>
                <w:szCs w:val="28"/>
              </w:rPr>
              <w:t>建设一条中医诊所步行街，投资约3亿元。</w:t>
            </w:r>
          </w:p>
          <w:p w14:paraId="378CD068">
            <w:pPr>
              <w:adjustRightInd w:val="0"/>
              <w:snapToGrid w:val="0"/>
              <w:spacing w:line="400" w:lineRule="exact"/>
              <w:ind w:firstLine="562" w:firstLineChars="200"/>
              <w:jc w:val="both"/>
              <w:rPr>
                <w:rFonts w:ascii="Times New Roman" w:hAnsi="Times New Roman" w:eastAsia="仿宋_GB2312"/>
                <w:sz w:val="28"/>
                <w:szCs w:val="28"/>
              </w:rPr>
            </w:pPr>
            <w:r>
              <w:rPr>
                <w:rFonts w:ascii="仿宋_GB2312" w:hAnsi="仿宋_GB2312" w:eastAsia="仿宋_GB2312" w:cs="仿宋_GB2312"/>
                <w:b/>
                <w:bCs/>
                <w:sz w:val="28"/>
                <w:szCs w:val="28"/>
              </w:rPr>
              <w:t>4</w:t>
            </w:r>
            <w:r>
              <w:rPr>
                <w:rFonts w:hint="eastAsia" w:ascii="仿宋_GB2312" w:hAnsi="仿宋_GB2312" w:eastAsia="仿宋_GB2312" w:cs="仿宋_GB2312"/>
                <w:b/>
                <w:bCs/>
                <w:sz w:val="28"/>
                <w:szCs w:val="28"/>
              </w:rPr>
              <w:t>.蟠龙医疗康养院项目。</w:t>
            </w:r>
            <w:r>
              <w:rPr>
                <w:rFonts w:hint="eastAsia" w:ascii="仿宋_GB2312" w:hAnsi="仿宋_GB2312" w:eastAsia="仿宋_GB2312" w:cs="仿宋_GB2312"/>
                <w:sz w:val="28"/>
                <w:szCs w:val="28"/>
              </w:rPr>
              <w:t>实行医养结合型养老院模式，有效解决老年人养老和医疗问题，投资约5亿元。</w:t>
            </w:r>
          </w:p>
        </w:tc>
      </w:tr>
    </w:tbl>
    <w:p w14:paraId="19595FAD">
      <w:pPr>
        <w:adjustRightInd w:val="0"/>
        <w:snapToGrid w:val="0"/>
        <w:spacing w:line="360" w:lineRule="auto"/>
        <w:ind w:firstLine="640" w:firstLineChars="200"/>
        <w:rPr>
          <w:rFonts w:ascii="Times New Roman" w:hAnsi="Times New Roman" w:eastAsia="仿宋_GB2312" w:cs="宋体"/>
          <w:kern w:val="0"/>
          <w:sz w:val="32"/>
          <w:szCs w:val="32"/>
        </w:rPr>
      </w:pPr>
    </w:p>
    <w:p w14:paraId="616F476E">
      <w:pPr>
        <w:pStyle w:val="3"/>
        <w:keepNext w:val="0"/>
        <w:keepLines w:val="0"/>
        <w:numPr>
          <w:ilvl w:val="0"/>
          <w:numId w:val="1"/>
        </w:numPr>
        <w:adjustRightInd w:val="0"/>
        <w:snapToGrid w:val="0"/>
        <w:spacing w:before="120" w:beforeLines="50" w:after="120" w:afterLines="50" w:line="360" w:lineRule="auto"/>
        <w:ind w:left="1276" w:hanging="1276"/>
        <w:jc w:val="center"/>
        <w:rPr>
          <w:rFonts w:eastAsia="黑体"/>
          <w:b w:val="0"/>
          <w:sz w:val="32"/>
          <w:szCs w:val="32"/>
        </w:rPr>
        <w:sectPr>
          <w:headerReference r:id="rId8" w:type="default"/>
          <w:pgSz w:w="11907" w:h="16840"/>
          <w:pgMar w:top="1440" w:right="1474" w:bottom="1440" w:left="1588" w:header="851" w:footer="992" w:gutter="0"/>
          <w:cols w:space="425" w:num="1"/>
          <w:docGrid w:linePitch="312" w:charSpace="0"/>
        </w:sectPr>
      </w:pPr>
      <w:bookmarkStart w:id="325" w:name="_Toc42610445"/>
      <w:bookmarkStart w:id="326" w:name="_Toc50988342"/>
      <w:bookmarkStart w:id="327" w:name="_Toc53863321"/>
      <w:bookmarkStart w:id="328" w:name="_Toc49276079"/>
      <w:bookmarkStart w:id="329" w:name="_Toc50710126"/>
      <w:bookmarkStart w:id="330" w:name="_Toc50988090"/>
    </w:p>
    <w:p w14:paraId="5CEA4D9B">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31" w:name="_Toc66443000"/>
      <w:r>
        <w:rPr>
          <w:rFonts w:hint="eastAsia" w:eastAsia="方正小标宋简体"/>
          <w:b w:val="0"/>
          <w:iCs/>
          <w:kern w:val="2"/>
          <w:sz w:val="36"/>
          <w:szCs w:val="36"/>
        </w:rPr>
        <w:t>深化市域社会治理，激发社会发展新活力</w:t>
      </w:r>
      <w:bookmarkEnd w:id="325"/>
      <w:bookmarkEnd w:id="326"/>
      <w:bookmarkEnd w:id="327"/>
      <w:bookmarkEnd w:id="328"/>
      <w:bookmarkEnd w:id="329"/>
      <w:bookmarkEnd w:id="330"/>
      <w:bookmarkEnd w:id="331"/>
    </w:p>
    <w:p w14:paraId="346550E9">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积极适应社会转型发展需要，转变社会治理理念，充分发挥现代网络技术优势，加强和创新市域社会治理，扎实推进市域社会治理现代化，打造具有金台特色的共建共治共享的治理新格局。</w:t>
      </w:r>
    </w:p>
    <w:p w14:paraId="31E9B18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2" w:name="_Toc50710127"/>
      <w:bookmarkStart w:id="333" w:name="_Toc53863322"/>
      <w:bookmarkStart w:id="334" w:name="_Toc50988343"/>
      <w:bookmarkStart w:id="335" w:name="_Toc50988091"/>
      <w:bookmarkStart w:id="336" w:name="_Toc66443001"/>
      <w:bookmarkStart w:id="337" w:name="_Toc42610446"/>
      <w:bookmarkStart w:id="338" w:name="_Toc42100161"/>
      <w:r>
        <w:rPr>
          <w:rFonts w:hint="eastAsia" w:ascii="Times New Roman" w:hAnsi="Times New Roman" w:cs="宋体"/>
          <w:bCs w:val="0"/>
          <w:sz w:val="32"/>
          <w:szCs w:val="24"/>
        </w:rPr>
        <w:t>第一节 提升现代化城市治理</w:t>
      </w:r>
      <w:bookmarkEnd w:id="332"/>
      <w:bookmarkEnd w:id="333"/>
      <w:bookmarkEnd w:id="334"/>
      <w:bookmarkEnd w:id="335"/>
      <w:r>
        <w:rPr>
          <w:rFonts w:hint="eastAsia" w:ascii="Times New Roman" w:hAnsi="Times New Roman" w:cs="宋体"/>
          <w:bCs w:val="0"/>
          <w:sz w:val="32"/>
          <w:szCs w:val="24"/>
        </w:rPr>
        <w:t>水平</w:t>
      </w:r>
      <w:bookmarkEnd w:id="336"/>
    </w:p>
    <w:bookmarkEnd w:id="337"/>
    <w:bookmarkEnd w:id="338"/>
    <w:p w14:paraId="069F29D9">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完善社会治理网络体系</w:t>
      </w:r>
    </w:p>
    <w:p w14:paraId="1B8ABC8D">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坚持党的全面领导，提高政府治理效能，形成社会治理合力，构建系统完备、科学规范、集约高效的社会治理体系。完善社会、学校、家庭“三位一体”的德育网络，加快构建彰显时代精神、体现金台特色的德治体系。构建民主、开放、包容的自治体系，打造人人有责、人人尽责、人人享有的社会治理共同体。充分利用</w:t>
      </w:r>
      <w:r>
        <w:rPr>
          <w:rFonts w:ascii="Times New Roman" w:hAnsi="Times New Roman" w:eastAsia="仿宋_GB2312" w:cs="宋体"/>
          <w:kern w:val="0"/>
          <w:sz w:val="32"/>
          <w:szCs w:val="32"/>
        </w:rPr>
        <w:t>5G</w:t>
      </w:r>
      <w:r>
        <w:rPr>
          <w:rFonts w:hint="eastAsia" w:ascii="Times New Roman" w:hAnsi="Times New Roman" w:eastAsia="仿宋_GB2312" w:cs="宋体"/>
          <w:kern w:val="0"/>
          <w:sz w:val="32"/>
          <w:szCs w:val="32"/>
        </w:rPr>
        <w:t>、大数据、互联网等现代信息技术，提升治理智慧化水平。</w:t>
      </w:r>
    </w:p>
    <w:p w14:paraId="3DB1CCA6">
      <w:pPr>
        <w:pStyle w:val="5"/>
        <w:keepNext w:val="0"/>
        <w:keepLines w:val="0"/>
        <w:numPr>
          <w:ilvl w:val="0"/>
          <w:numId w:val="33"/>
        </w:numPr>
        <w:adjustRightInd w:val="0"/>
        <w:snapToGrid w:val="0"/>
        <w:spacing w:before="0" w:after="0" w:line="600" w:lineRule="exact"/>
        <w:ind w:firstLine="643" w:firstLineChars="200"/>
        <w:rPr>
          <w:rFonts w:eastAsia="楷体"/>
        </w:rPr>
      </w:pPr>
      <w:r>
        <w:rPr>
          <w:rFonts w:hint="eastAsia" w:eastAsia="楷体"/>
        </w:rPr>
        <w:t>创新社区治理发展模式</w:t>
      </w:r>
    </w:p>
    <w:p w14:paraId="27330F8F">
      <w:pPr>
        <w:adjustRightInd w:val="0"/>
        <w:snapToGrid w:val="0"/>
        <w:spacing w:line="560" w:lineRule="exact"/>
        <w:ind w:firstLine="640" w:firstLineChars="200"/>
        <w:jc w:val="both"/>
        <w:rPr>
          <w:rFonts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坚持发展新时代“枫桥经验”，积极探索创新社会治理与综合服务工作模式，围绕构建以社区党组织为核心、社区居委会为主导、社区党员和居民为主体的“一核多元”治理架构，建立健全社区党组织、居委会、社工站、社会组织、协商议事会“五位一体”组织体系，加强对物业公司、业委会和群众团体的指导管理，理顺相互之间的关系，强化工作统筹和多元共治，形成高效服务体系。针对不同社区实际，以实施“osm现场管理系统”导入为手段，通过科学的方法对街区进行合理有效管理，提升服务品质、提高工作效率，实现资源管理规范有序。</w:t>
      </w:r>
    </w:p>
    <w:p w14:paraId="105FD0A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39" w:name="_Toc50988346"/>
      <w:bookmarkStart w:id="340" w:name="_Toc50988094"/>
      <w:bookmarkStart w:id="341" w:name="_Toc50710130"/>
      <w:bookmarkStart w:id="342" w:name="_Toc66443002"/>
      <w:bookmarkStart w:id="343" w:name="_Toc53863325"/>
      <w:r>
        <w:rPr>
          <w:rFonts w:hint="eastAsia" w:ascii="Times New Roman" w:hAnsi="Times New Roman" w:cs="宋体"/>
          <w:bCs w:val="0"/>
          <w:sz w:val="32"/>
          <w:szCs w:val="24"/>
        </w:rPr>
        <w:t>第二节 构筑现代治理法治基础</w:t>
      </w:r>
      <w:bookmarkEnd w:id="339"/>
      <w:bookmarkEnd w:id="340"/>
      <w:bookmarkEnd w:id="341"/>
      <w:bookmarkEnd w:id="342"/>
      <w:bookmarkEnd w:id="343"/>
    </w:p>
    <w:p w14:paraId="148219A3">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全面贯彻依法行政</w:t>
      </w:r>
    </w:p>
    <w:p w14:paraId="5E6D7CF8">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行政决策机制，依法规范行政行为，建立权责统一、权威高效的行政执法体制，加强执法程序建设和法治工作队伍建设，严格落实行政执法自由裁量权基准制度。依法化解行政争议，完善行政复议体制机制。深化政务公开和信息公开，重点推进公共资源配置、财政预决算、“三公”经费及重大项目建设等领域的政府信息公开，着力创建法治政府示范区。</w:t>
      </w:r>
    </w:p>
    <w:p w14:paraId="0A74E2D8">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完善公共法律服务体系</w:t>
      </w:r>
    </w:p>
    <w:p w14:paraId="38E3A2AD">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不断完善公共法律服务体系，促进公共法律服务供给主体多元化。加快推进公共法律服务实体平台规范化建设，促进司法鉴定机构入驻公共法律服务中心活动，提升司法鉴定机构的公信力。打造“多元综合”“线上线下”“法律顾问”等服务体系，大力提升公共法律服务效能。</w:t>
      </w:r>
    </w:p>
    <w:p w14:paraId="2EE36AC4">
      <w:pPr>
        <w:pStyle w:val="5"/>
        <w:keepNext w:val="0"/>
        <w:keepLines w:val="0"/>
        <w:numPr>
          <w:ilvl w:val="0"/>
          <w:numId w:val="34"/>
        </w:numPr>
        <w:adjustRightInd w:val="0"/>
        <w:snapToGrid w:val="0"/>
        <w:spacing w:before="0" w:after="0" w:line="600" w:lineRule="exact"/>
        <w:ind w:firstLine="643" w:firstLineChars="200"/>
        <w:rPr>
          <w:rFonts w:eastAsia="楷体"/>
        </w:rPr>
      </w:pPr>
      <w:r>
        <w:rPr>
          <w:rFonts w:hint="eastAsia" w:eastAsia="楷体"/>
        </w:rPr>
        <w:t>促进全民普法守法教育</w:t>
      </w:r>
    </w:p>
    <w:p w14:paraId="24218780">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全面组织“八五”普法，广泛开展</w:t>
      </w:r>
      <w:r>
        <w:rPr>
          <w:rFonts w:hint="eastAsia" w:ascii="Times New Roman" w:hAnsi="Times New Roman" w:eastAsia="仿宋_GB2312" w:cs="宋体"/>
          <w:kern w:val="0"/>
          <w:sz w:val="32"/>
          <w:szCs w:val="32"/>
          <w:lang w:eastAsia="zh-CN"/>
        </w:rPr>
        <w:t>《中华人民共和国民法典》</w:t>
      </w:r>
      <w:r>
        <w:rPr>
          <w:rFonts w:hint="eastAsia" w:ascii="Times New Roman" w:hAnsi="Times New Roman" w:eastAsia="仿宋_GB2312" w:cs="宋体"/>
          <w:kern w:val="0"/>
          <w:sz w:val="32"/>
          <w:szCs w:val="32"/>
        </w:rPr>
        <w:t>普法工作。坚决落实“谁执法谁普法”的责任，分类加强重点对象普法，深化普法宣传精准度。落实国家工作人员学法用法制度，持续开展“法律进学校”宣传周活动，积极对社区相关人员开展社区法治培训，落实定期集中性普法活动，常态化开展“律师进社区”普法。</w:t>
      </w:r>
    </w:p>
    <w:p w14:paraId="18F8BCE4">
      <w:pPr>
        <w:pStyle w:val="8"/>
      </w:pPr>
    </w:p>
    <w:p w14:paraId="6DDBE426">
      <w:pPr>
        <w:pStyle w:val="8"/>
      </w:pPr>
    </w:p>
    <w:p w14:paraId="3568499A">
      <w:pPr>
        <w:pStyle w:val="8"/>
      </w:pPr>
    </w:p>
    <w:p w14:paraId="568BB594">
      <w:pPr>
        <w:pStyle w:val="8"/>
      </w:pPr>
    </w:p>
    <w:p w14:paraId="69513CCC">
      <w:pPr>
        <w:pStyle w:val="8"/>
      </w:pPr>
    </w:p>
    <w:p w14:paraId="051DB2E2">
      <w:pPr>
        <w:pStyle w:val="8"/>
        <w:ind w:firstLine="0" w:firstLineChars="0"/>
      </w:pPr>
    </w:p>
    <w:p w14:paraId="078090C5">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4" w:name="_Toc50988345"/>
      <w:bookmarkStart w:id="345" w:name="_Toc66443003"/>
      <w:bookmarkStart w:id="346" w:name="_Toc50988093"/>
      <w:bookmarkStart w:id="347" w:name="_Toc50710129"/>
      <w:bookmarkStart w:id="348" w:name="_Toc53863324"/>
      <w:r>
        <w:rPr>
          <w:rFonts w:hint="eastAsia" w:ascii="Times New Roman" w:hAnsi="Times New Roman" w:cs="宋体"/>
          <w:bCs w:val="0"/>
          <w:sz w:val="32"/>
          <w:szCs w:val="24"/>
        </w:rPr>
        <w:t>第三节 筑牢社会安全底线</w:t>
      </w:r>
      <w:bookmarkEnd w:id="344"/>
      <w:bookmarkEnd w:id="345"/>
      <w:bookmarkEnd w:id="346"/>
      <w:bookmarkEnd w:id="347"/>
      <w:bookmarkEnd w:id="348"/>
    </w:p>
    <w:p w14:paraId="65CBFBCD">
      <w:pPr>
        <w:pStyle w:val="5"/>
        <w:keepNext w:val="0"/>
        <w:keepLines w:val="0"/>
        <w:numPr>
          <w:ilvl w:val="0"/>
          <w:numId w:val="35"/>
        </w:numPr>
        <w:adjustRightInd w:val="0"/>
        <w:snapToGrid w:val="0"/>
        <w:spacing w:before="0" w:after="0" w:line="600" w:lineRule="exact"/>
        <w:ind w:firstLine="643"/>
        <w:rPr>
          <w:rFonts w:eastAsia="楷体"/>
        </w:rPr>
      </w:pPr>
      <w:r>
        <w:rPr>
          <w:rFonts w:hint="eastAsia" w:eastAsia="楷体"/>
        </w:rPr>
        <w:t>筑牢国家粮食安全基石</w:t>
      </w:r>
    </w:p>
    <w:p w14:paraId="0502D9AB">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落实耕地及永久基本农田特殊保护制度，落实藏粮于地、藏粮于技战略，强化用途管制，坚决</w:t>
      </w:r>
      <w:r>
        <w:rPr>
          <w:rFonts w:hint="eastAsia" w:ascii="Times New Roman" w:hAnsi="Times New Roman" w:eastAsia="仿宋_GB2312" w:cs="宋体"/>
          <w:kern w:val="0"/>
          <w:sz w:val="32"/>
          <w:szCs w:val="32"/>
          <w:lang w:eastAsia="zh-CN"/>
        </w:rPr>
        <w:t>遏制耕地“非农化”、防止“非粮化”</w:t>
      </w:r>
      <w:r>
        <w:rPr>
          <w:rFonts w:hint="eastAsia" w:ascii="Times New Roman" w:hAnsi="Times New Roman" w:eastAsia="仿宋_GB2312" w:cs="宋体"/>
          <w:kern w:val="0"/>
          <w:sz w:val="32"/>
          <w:szCs w:val="32"/>
        </w:rPr>
        <w:t>，</w:t>
      </w:r>
      <w:r>
        <w:rPr>
          <w:rFonts w:hint="eastAsia" w:ascii="Times New Roman" w:hAnsi="Times New Roman"/>
        </w:rPr>
        <w:t xml:space="preserve"> </w:t>
      </w:r>
      <w:r>
        <w:rPr>
          <w:rFonts w:hint="eastAsia" w:ascii="Times New Roman" w:hAnsi="Times New Roman" w:eastAsia="仿宋_GB2312" w:cs="宋体"/>
          <w:kern w:val="0"/>
          <w:sz w:val="32"/>
          <w:szCs w:val="32"/>
        </w:rPr>
        <w:t>稳定粮食种植面积。实施耕地质量提升计划，优化生产技术措施，提高粮食综合生产能力。推行粮食市场化收购新模式，发挥粮食收购贷款信用保证基金“撬动”作用，加大市场化收购力度，带动农民增收、企业增效、产业提质。</w:t>
      </w:r>
    </w:p>
    <w:p w14:paraId="2DAAC499">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严守食品药品安全底线</w:t>
      </w:r>
    </w:p>
    <w:p w14:paraId="79D3F25E">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大市场监管力度，健全食品安全全程管控体系，巩固国家食品安全示范城市创建成果。健全监督检查、监督抽查、行政约谈等监管措施，推动信息归集共享和联动监管。加强药品动态监管和风险控制，建立药品质量定期抽验、监督检查和不良反应记录备案制度，加大对网络销售药品等新生业态的监管力度。建立风险防控技术支撑体系，加强食品药品检验检测机构建设，不断提高检测能力。</w:t>
      </w:r>
    </w:p>
    <w:p w14:paraId="4DF0EE24">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强化安全应急管理</w:t>
      </w:r>
    </w:p>
    <w:p w14:paraId="7168F9E6">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加强安全生产监管，落实安全生产责任制。开展事故隐患排查整治和安全生产专项整治三年行动。加强教育系统安全风险防控和隐患治理，扎实推进学校安全管理工作。</w:t>
      </w:r>
      <w:r>
        <w:rPr>
          <w:rFonts w:hint="eastAsia" w:ascii="Times New Roman" w:hAnsi="Times New Roman" w:eastAsia="仿宋_GB2312" w:cs="宋体"/>
          <w:spacing w:val="-4"/>
          <w:kern w:val="0"/>
          <w:sz w:val="32"/>
          <w:szCs w:val="32"/>
        </w:rPr>
        <w:t>加强网络安全保障，提升网络安全防护能力。加强消防、防洪、地震、地质灾害、人防等综合防灾重大工程建设，</w:t>
      </w:r>
      <w:r>
        <w:rPr>
          <w:rFonts w:hint="eastAsia" w:ascii="仿宋_GB2312" w:hAnsi="仿宋_GB2312" w:eastAsia="仿宋_GB2312" w:cs="仿宋_GB2312"/>
          <w:sz w:val="32"/>
          <w:szCs w:val="32"/>
        </w:rPr>
        <w:t>创建全国综合减灾示范区</w:t>
      </w:r>
      <w:r>
        <w:rPr>
          <w:rFonts w:hint="eastAsia" w:ascii="Times New Roman" w:hAnsi="Times New Roman" w:eastAsia="仿宋_GB2312" w:cs="宋体"/>
          <w:spacing w:val="-4"/>
          <w:kern w:val="0"/>
          <w:sz w:val="32"/>
          <w:szCs w:val="32"/>
        </w:rPr>
        <w:t>。新建应急广播、预警监测等应急体系，建设应急救援基地，完善应急服务信息化管理体系，推动应急管理向安全生产、防灾减灾、应急救援“一体化”综合协调转变。</w:t>
      </w:r>
    </w:p>
    <w:p w14:paraId="518B5E30">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提升“平安金台</w:t>
      </w:r>
      <w:r>
        <w:rPr>
          <w:rFonts w:hint="eastAsia" w:eastAsia="楷体"/>
          <w:lang w:eastAsia="zh-CN"/>
        </w:rPr>
        <w:t>”</w:t>
      </w:r>
      <w:r>
        <w:rPr>
          <w:rFonts w:hint="eastAsia" w:eastAsia="楷体"/>
        </w:rPr>
        <w:t>建设水平</w:t>
      </w:r>
    </w:p>
    <w:p w14:paraId="60709F57">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持续开展平安创建活动，加快推进“雪亮工程”，实现城乡智慧安防全覆盖。扎实做好重点人群服务管理工作，健全社会心理服务体系和危机干预机制，倡导理性平和的社会心态。依法依规处置民族宗教方面</w:t>
      </w:r>
      <w:r>
        <w:rPr>
          <w:rFonts w:hint="eastAsia" w:ascii="Times New Roman" w:hAnsi="Times New Roman" w:eastAsia="仿宋_GB2312" w:cs="宋体"/>
          <w:kern w:val="0"/>
          <w:sz w:val="32"/>
          <w:szCs w:val="32"/>
          <w:lang w:eastAsia="zh-CN"/>
        </w:rPr>
        <w:t>突发事件</w:t>
      </w:r>
      <w:r>
        <w:rPr>
          <w:rFonts w:hint="eastAsia" w:ascii="Times New Roman" w:hAnsi="Times New Roman" w:eastAsia="仿宋_GB2312" w:cs="宋体"/>
          <w:kern w:val="0"/>
          <w:sz w:val="32"/>
          <w:szCs w:val="32"/>
        </w:rPr>
        <w:t>或不稳定因素。扩大社会治安治理工作覆盖面，努力遏制、预防和减少各类犯罪，不断提升群众安全感，全方位打造“社会治安安全区”。</w:t>
      </w:r>
    </w:p>
    <w:p w14:paraId="22B7943B">
      <w:pPr>
        <w:pStyle w:val="5"/>
        <w:keepNext w:val="0"/>
        <w:keepLines w:val="0"/>
        <w:numPr>
          <w:ilvl w:val="0"/>
          <w:numId w:val="35"/>
        </w:numPr>
        <w:adjustRightInd w:val="0"/>
        <w:snapToGrid w:val="0"/>
        <w:spacing w:before="0" w:after="0" w:line="600" w:lineRule="exact"/>
        <w:ind w:firstLine="643" w:firstLineChars="200"/>
        <w:rPr>
          <w:rFonts w:eastAsia="楷体"/>
        </w:rPr>
      </w:pPr>
      <w:r>
        <w:rPr>
          <w:rFonts w:hint="eastAsia" w:eastAsia="楷体"/>
        </w:rPr>
        <w:t>依法管理民族宗教事务</w:t>
      </w:r>
    </w:p>
    <w:p w14:paraId="743F872D">
      <w:pPr>
        <w:widowControl w:val="0"/>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强化民族宗教工作网络，夯实“四级网络三级责任制”，依法管理民族宗教事务。持续开展“四项工程”</w:t>
      </w:r>
      <w:r>
        <w:rPr>
          <w:rStyle w:val="37"/>
          <w:rFonts w:ascii="Times New Roman" w:hAnsi="Times New Roman" w:eastAsia="仿宋_GB2312" w:cs="宋体"/>
          <w:kern w:val="0"/>
          <w:sz w:val="32"/>
          <w:szCs w:val="32"/>
        </w:rPr>
        <w:footnoteReference w:id="0"/>
      </w:r>
      <w:r>
        <w:rPr>
          <w:rFonts w:hint="eastAsia" w:ascii="Times New Roman" w:hAnsi="Times New Roman" w:eastAsia="仿宋_GB2312" w:cs="宋体"/>
          <w:kern w:val="0"/>
          <w:sz w:val="32"/>
          <w:szCs w:val="32"/>
        </w:rPr>
        <w:t>，铸牢中华民族共同体意识，建设各民族共有精神家园。依法处置民族宗教方面突发事件或不稳定因素。</w:t>
      </w:r>
    </w:p>
    <w:p w14:paraId="2606D0D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49" w:name="_Toc66443004"/>
      <w:r>
        <w:rPr>
          <w:rFonts w:hint="eastAsia" w:ascii="Times New Roman" w:hAnsi="Times New Roman" w:cs="宋体"/>
          <w:bCs w:val="0"/>
          <w:sz w:val="32"/>
          <w:szCs w:val="24"/>
        </w:rPr>
        <w:t>第四节 健全社会信用体系</w:t>
      </w:r>
      <w:bookmarkEnd w:id="349"/>
    </w:p>
    <w:p w14:paraId="06F3CF07">
      <w:pPr>
        <w:pStyle w:val="5"/>
        <w:keepNext w:val="0"/>
        <w:keepLines w:val="0"/>
        <w:numPr>
          <w:ilvl w:val="0"/>
          <w:numId w:val="36"/>
        </w:numPr>
        <w:adjustRightInd w:val="0"/>
        <w:snapToGrid w:val="0"/>
        <w:spacing w:before="0" w:after="0" w:line="600" w:lineRule="exact"/>
        <w:rPr>
          <w:rFonts w:eastAsia="楷体"/>
        </w:rPr>
      </w:pPr>
      <w:r>
        <w:rPr>
          <w:rFonts w:hint="eastAsia" w:eastAsia="楷体"/>
        </w:rPr>
        <w:t>加强重点领域诚信建设</w:t>
      </w:r>
    </w:p>
    <w:p w14:paraId="1C9F6BDC">
      <w:pPr>
        <w:widowControl w:val="0"/>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大力推进政务诚信、商务诚信、社会诚信和司法公信建设，实行政务信息公开，完善政府服务承诺制，将部门诚信状况列入机关作风评议的重要内容。重点推进生产、服务、政府采购、招标投标等领域信用体系建设，加强医疗卫生、教育科研、知识产权、环境保护和能源节约、互联网应用及服务等领域诚信建设，推进公检法、公共安全领域的公信建设。</w:t>
      </w:r>
    </w:p>
    <w:p w14:paraId="1B5CF530">
      <w:pPr>
        <w:pStyle w:val="8"/>
      </w:pPr>
    </w:p>
    <w:p w14:paraId="7FC7B93F">
      <w:pPr>
        <w:pStyle w:val="8"/>
      </w:pPr>
    </w:p>
    <w:p w14:paraId="5F89065E">
      <w:pPr>
        <w:pStyle w:val="5"/>
        <w:keepNext w:val="0"/>
        <w:keepLines w:val="0"/>
        <w:numPr>
          <w:ilvl w:val="0"/>
          <w:numId w:val="36"/>
        </w:numPr>
        <w:adjustRightInd w:val="0"/>
        <w:snapToGrid w:val="0"/>
        <w:spacing w:before="0" w:after="0" w:line="600" w:lineRule="exact"/>
        <w:rPr>
          <w:rFonts w:eastAsia="楷体"/>
        </w:rPr>
      </w:pPr>
      <w:r>
        <w:rPr>
          <w:rFonts w:hint="eastAsia" w:eastAsia="楷体"/>
        </w:rPr>
        <w:t>强化社会信用平台支撑</w:t>
      </w:r>
    </w:p>
    <w:p w14:paraId="37961BA3">
      <w:pPr>
        <w:widowControl w:val="0"/>
        <w:adjustRightInd w:val="0"/>
        <w:snapToGrid w:val="0"/>
        <w:spacing w:line="546" w:lineRule="exact"/>
        <w:ind w:firstLine="640" w:firstLineChars="200"/>
        <w:jc w:val="both"/>
        <w:rPr>
          <w:rFonts w:ascii="Times New Roman" w:hAnsi="Times New Roman"/>
        </w:rPr>
      </w:pPr>
      <w:r>
        <w:rPr>
          <w:rFonts w:hint="eastAsia" w:ascii="Times New Roman" w:hAnsi="Times New Roman" w:eastAsia="仿宋_GB2312" w:cs="宋体"/>
          <w:kern w:val="0"/>
          <w:sz w:val="32"/>
          <w:szCs w:val="32"/>
        </w:rPr>
        <w:t>建设上联国家、省市，下联各镇街，横接各县区的信用信息平台，拓展信用信息查询、归集公示、信用承诺、联合奖惩和“信易</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等功能，不断提升信用信息平台服务能力，平台实现与行政审批局、大数据中心、公安局等部门系统互联互通，实现与陕西省公共信用信息平台同步公示。</w:t>
      </w:r>
    </w:p>
    <w:p w14:paraId="7C0B0B46">
      <w:pPr>
        <w:pStyle w:val="5"/>
        <w:keepNext w:val="0"/>
        <w:keepLines w:val="0"/>
        <w:numPr>
          <w:ilvl w:val="0"/>
          <w:numId w:val="36"/>
        </w:numPr>
        <w:adjustRightInd w:val="0"/>
        <w:snapToGrid w:val="0"/>
        <w:spacing w:before="0" w:after="0" w:line="600" w:lineRule="exact"/>
        <w:ind w:left="1287"/>
        <w:rPr>
          <w:rFonts w:eastAsia="楷体"/>
        </w:rPr>
      </w:pPr>
      <w:r>
        <w:rPr>
          <w:rFonts w:hint="eastAsia" w:eastAsia="楷体"/>
        </w:rPr>
        <w:t>构建信用体系运行机制</w:t>
      </w:r>
    </w:p>
    <w:p w14:paraId="2B0DEA44">
      <w:pPr>
        <w:adjustRightInd w:val="0"/>
        <w:snapToGrid w:val="0"/>
        <w:spacing w:line="546"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健全褒扬和激励守信机制。对诚实守信的法人和自然人，给予激励措施，探索建立行政审批“绿色通道”，优先提供公共服务便利、降低市场交易成本。对重点领域和严重失信行为实施联合惩戒，依法依规加强对失信行为的行政性、市场性、行业性、社会性约束和惩戒。加强守信联合激励和失信联合惩戒协同，建立触发反馈机制、建立跟踪问效机制、构建信用修复机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6D2C3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77F08C97">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5</w:t>
            </w:r>
            <w:r>
              <w:rPr>
                <w:rFonts w:ascii="Times New Roman" w:hAnsi="Times New Roman" w:eastAsia="黑体"/>
                <w:sz w:val="28"/>
                <w:szCs w:val="28"/>
              </w:rPr>
              <w:t xml:space="preserve"> </w:t>
            </w:r>
            <w:r>
              <w:rPr>
                <w:rFonts w:hint="eastAsia" w:ascii="Times New Roman" w:hAnsi="Times New Roman" w:eastAsia="黑体"/>
                <w:sz w:val="28"/>
                <w:szCs w:val="28"/>
              </w:rPr>
              <w:t>社会治理重大项目</w:t>
            </w:r>
          </w:p>
        </w:tc>
      </w:tr>
      <w:tr w14:paraId="3E01F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5000" w:type="pct"/>
          </w:tcPr>
          <w:p w14:paraId="175D8F85">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1.金台区社会治理综合服务中心建设项目。</w:t>
            </w:r>
            <w:r>
              <w:rPr>
                <w:rFonts w:hint="eastAsia" w:ascii="仿宋_GB2312" w:hAnsi="仿宋_GB2312" w:eastAsia="仿宋_GB2312" w:cs="仿宋_GB2312"/>
                <w:sz w:val="28"/>
                <w:szCs w:val="28"/>
              </w:rPr>
              <w:t>项目建筑面积约1500平方米，主要功能包含区信访接待中心、综合治理中心、矛盾纠纷调解中心，投资约0.12亿元。</w:t>
            </w:r>
          </w:p>
          <w:p w14:paraId="7010885F">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2.金台区气象预警</w:t>
            </w:r>
            <w:r>
              <w:rPr>
                <w:rFonts w:hint="eastAsia" w:ascii="仿宋_GB2312" w:hAnsi="仿宋_GB2312" w:eastAsia="仿宋_GB2312" w:cs="仿宋_GB2312"/>
                <w:b/>
                <w:sz w:val="28"/>
                <w:szCs w:val="28"/>
                <w:lang w:eastAsia="zh-CN"/>
              </w:rPr>
              <w:t>监测</w:t>
            </w:r>
            <w:r>
              <w:rPr>
                <w:rFonts w:hint="eastAsia" w:ascii="仿宋_GB2312" w:hAnsi="仿宋_GB2312" w:eastAsia="仿宋_GB2312" w:cs="仿宋_GB2312"/>
                <w:b/>
                <w:sz w:val="28"/>
                <w:szCs w:val="28"/>
              </w:rPr>
              <w:t>系统项目。</w:t>
            </w:r>
            <w:r>
              <w:rPr>
                <w:rFonts w:hint="eastAsia" w:ascii="仿宋_GB2312" w:hAnsi="仿宋_GB2312" w:eastAsia="仿宋_GB2312" w:cs="仿宋_GB2312"/>
                <w:spacing w:val="-2"/>
                <w:sz w:val="28"/>
                <w:szCs w:val="28"/>
              </w:rPr>
              <w:t>建设气象预警指挥中心一处，投资约1.5亿元</w:t>
            </w:r>
            <w:r>
              <w:rPr>
                <w:rFonts w:hint="eastAsia" w:ascii="仿宋_GB2312" w:hAnsi="仿宋_GB2312" w:eastAsia="仿宋_GB2312" w:cs="仿宋_GB2312"/>
                <w:sz w:val="28"/>
                <w:szCs w:val="28"/>
              </w:rPr>
              <w:t>。</w:t>
            </w:r>
          </w:p>
          <w:p w14:paraId="142DA78A">
            <w:pPr>
              <w:widowControl w:val="0"/>
              <w:adjustRightInd w:val="0"/>
              <w:snapToGrid w:val="0"/>
              <w:spacing w:line="37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3.金台区应急广播体系建设项目。</w:t>
            </w:r>
            <w:r>
              <w:rPr>
                <w:rFonts w:hint="eastAsia" w:ascii="仿宋_GB2312" w:hAnsi="仿宋_GB2312" w:eastAsia="仿宋_GB2312" w:cs="仿宋_GB2312"/>
                <w:sz w:val="28"/>
                <w:szCs w:val="28"/>
              </w:rPr>
              <w:t>在金台区各乡镇建设村级广播室、分别安装分控软件1组，电话编码播控器，智能收扩机，扬声器，辅材等配套设施，投资约0.18亿元。</w:t>
            </w:r>
          </w:p>
          <w:p w14:paraId="44C9BC42">
            <w:pPr>
              <w:widowControl w:val="0"/>
              <w:adjustRightInd w:val="0"/>
              <w:snapToGrid w:val="0"/>
              <w:spacing w:line="370" w:lineRule="exact"/>
              <w:ind w:firstLine="562" w:firstLineChars="200"/>
              <w:jc w:val="both"/>
              <w:rPr>
                <w:rFonts w:ascii="仿宋_GB2312" w:hAnsi="仿宋_GB2312" w:eastAsia="仿宋_GB2312" w:cs="仿宋_GB2312"/>
                <w:bCs/>
                <w:sz w:val="28"/>
                <w:szCs w:val="28"/>
              </w:rPr>
            </w:pPr>
            <w:r>
              <w:rPr>
                <w:rFonts w:hint="eastAsia" w:ascii="仿宋_GB2312" w:hAnsi="仿宋_GB2312" w:eastAsia="仿宋_GB2312" w:cs="仿宋_GB2312"/>
                <w:b/>
                <w:sz w:val="28"/>
                <w:szCs w:val="28"/>
              </w:rPr>
              <w:t>4.金台区应急物资储备库项目。</w:t>
            </w:r>
            <w:r>
              <w:rPr>
                <w:rFonts w:hint="eastAsia" w:ascii="仿宋_GB2312" w:hAnsi="仿宋_GB2312" w:eastAsia="仿宋_GB2312" w:cs="仿宋_GB2312"/>
                <w:bCs/>
                <w:sz w:val="28"/>
                <w:szCs w:val="28"/>
              </w:rPr>
              <w:t>建设1个主库，3个分库，新建应急物资储备库房、库区管理用房，配套建设给排水、电力等设施，投资约1.5亿元。</w:t>
            </w:r>
          </w:p>
          <w:p w14:paraId="65B90173">
            <w:pPr>
              <w:widowControl w:val="0"/>
              <w:adjustRightInd w:val="0"/>
              <w:snapToGrid w:val="0"/>
              <w:spacing w:line="370" w:lineRule="exact"/>
              <w:ind w:firstLine="562" w:firstLineChars="200"/>
              <w:jc w:val="both"/>
              <w:rPr>
                <w:rFonts w:ascii="Times New Roman" w:hAnsi="Times New Roman"/>
              </w:rPr>
            </w:pPr>
            <w:r>
              <w:rPr>
                <w:rFonts w:hint="eastAsia" w:ascii="仿宋_GB2312" w:hAnsi="仿宋_GB2312" w:eastAsia="仿宋_GB2312" w:cs="仿宋_GB2312"/>
                <w:b/>
                <w:sz w:val="28"/>
                <w:szCs w:val="28"/>
              </w:rPr>
              <w:t>5.拖挂式系留无人机综合应急救援平台建设项目。</w:t>
            </w:r>
            <w:r>
              <w:rPr>
                <w:rFonts w:hint="eastAsia" w:ascii="仿宋_GB2312" w:hAnsi="仿宋_GB2312" w:eastAsia="仿宋_GB2312" w:cs="仿宋_GB2312"/>
                <w:bCs/>
                <w:sz w:val="28"/>
                <w:szCs w:val="28"/>
              </w:rPr>
              <w:t>建设拖挂式系留无人机综合应急救援平台，投资约1.1亿元。</w:t>
            </w:r>
          </w:p>
        </w:tc>
      </w:tr>
    </w:tbl>
    <w:p w14:paraId="131457D8">
      <w:pPr>
        <w:pStyle w:val="3"/>
        <w:keepNext w:val="0"/>
        <w:keepLines w:val="0"/>
        <w:widowControl w:val="0"/>
        <w:numPr>
          <w:ilvl w:val="0"/>
          <w:numId w:val="1"/>
        </w:numPr>
        <w:adjustRightInd w:val="0"/>
        <w:snapToGrid w:val="0"/>
        <w:spacing w:before="120" w:beforeLines="50" w:after="120" w:afterLines="50" w:line="600" w:lineRule="exact"/>
        <w:ind w:left="0" w:firstLine="0"/>
        <w:jc w:val="center"/>
        <w:rPr>
          <w:rFonts w:eastAsia="方正小标宋简体"/>
          <w:b w:val="0"/>
          <w:iCs/>
          <w:kern w:val="2"/>
          <w:sz w:val="36"/>
          <w:szCs w:val="36"/>
        </w:rPr>
        <w:sectPr>
          <w:pgSz w:w="11907" w:h="16840"/>
          <w:pgMar w:top="1440" w:right="1474" w:bottom="1440" w:left="1588" w:header="851" w:footer="992" w:gutter="0"/>
          <w:cols w:space="425" w:num="1"/>
          <w:docGrid w:linePitch="312" w:charSpace="0"/>
        </w:sectPr>
      </w:pPr>
      <w:bookmarkStart w:id="350" w:name="_Toc49276083"/>
      <w:bookmarkStart w:id="351" w:name="_Toc53863326"/>
      <w:bookmarkStart w:id="352" w:name="_Toc50988095"/>
      <w:bookmarkStart w:id="353" w:name="_Toc50710131"/>
      <w:bookmarkStart w:id="354" w:name="_Toc50988347"/>
    </w:p>
    <w:p w14:paraId="1E5D0C8A">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55" w:name="_Toc66443005"/>
      <w:r>
        <w:rPr>
          <w:rFonts w:hint="eastAsia" w:eastAsia="方正小标宋简体"/>
          <w:b w:val="0"/>
          <w:iCs/>
          <w:kern w:val="2"/>
          <w:sz w:val="36"/>
          <w:szCs w:val="36"/>
        </w:rPr>
        <w:t>增强改革创新能力，开创全区发展新局面</w:t>
      </w:r>
      <w:bookmarkEnd w:id="355"/>
    </w:p>
    <w:p w14:paraId="5FF04DCB">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紧抓全市建设关中平原城市群副中心城市重大机遇，加快</w:t>
      </w:r>
      <w:r>
        <w:rPr>
          <w:rFonts w:hint="eastAsia" w:ascii="Times New Roman" w:hAnsi="Times New Roman" w:eastAsia="仿宋_GB2312"/>
          <w:sz w:val="32"/>
          <w:szCs w:val="32"/>
          <w:lang w:eastAsia="zh-CN"/>
        </w:rPr>
        <w:t>构建</w:t>
      </w:r>
      <w:r>
        <w:rPr>
          <w:rFonts w:hint="eastAsia" w:ascii="Times New Roman" w:hAnsi="Times New Roman" w:eastAsia="仿宋_GB2312"/>
          <w:sz w:val="32"/>
          <w:szCs w:val="32"/>
        </w:rPr>
        <w:t>创新平台，加强创新资源集聚，推动科技创新前瞻布局和资源共享，</w:t>
      </w:r>
      <w:r>
        <w:rPr>
          <w:rFonts w:hint="eastAsia" w:ascii="Times New Roman" w:hAnsi="Times New Roman" w:eastAsia="仿宋_GB2312" w:cs="宋体"/>
          <w:kern w:val="0"/>
          <w:sz w:val="32"/>
          <w:szCs w:val="32"/>
        </w:rPr>
        <w:t>坚持深化体制机制改革，优化改革创新环境，营造一流营商环境，</w:t>
      </w:r>
      <w:r>
        <w:rPr>
          <w:rFonts w:hint="eastAsia" w:ascii="Times New Roman" w:hAnsi="Times New Roman" w:eastAsia="仿宋_GB2312"/>
          <w:sz w:val="32"/>
          <w:szCs w:val="32"/>
        </w:rPr>
        <w:t>形成具有区域影响力的科技创新高地。到20</w:t>
      </w:r>
      <w:r>
        <w:rPr>
          <w:rFonts w:ascii="Times New Roman" w:hAnsi="Times New Roman" w:eastAsia="仿宋_GB2312"/>
          <w:sz w:val="32"/>
          <w:szCs w:val="32"/>
        </w:rPr>
        <w:t>2</w:t>
      </w:r>
      <w:r>
        <w:rPr>
          <w:rFonts w:hint="eastAsia" w:ascii="Times New Roman" w:hAnsi="Times New Roman" w:eastAsia="仿宋_GB2312"/>
          <w:sz w:val="32"/>
          <w:szCs w:val="32"/>
        </w:rPr>
        <w:t>5年，研究与开发投入占</w:t>
      </w:r>
      <w:r>
        <w:rPr>
          <w:rFonts w:ascii="Times New Roman" w:hAnsi="Times New Roman" w:eastAsia="仿宋_GB2312"/>
          <w:sz w:val="32"/>
          <w:szCs w:val="32"/>
        </w:rPr>
        <w:t>GDP比重</w:t>
      </w:r>
      <w:r>
        <w:rPr>
          <w:rFonts w:hint="eastAsia" w:ascii="Times New Roman" w:hAnsi="Times New Roman" w:eastAsia="仿宋_GB2312"/>
          <w:sz w:val="32"/>
          <w:szCs w:val="32"/>
        </w:rPr>
        <w:t>达到2</w:t>
      </w:r>
      <w:r>
        <w:rPr>
          <w:rFonts w:ascii="Times New Roman" w:hAnsi="Times New Roman" w:eastAsia="仿宋_GB2312"/>
          <w:sz w:val="32"/>
          <w:szCs w:val="32"/>
        </w:rPr>
        <w:t>.5</w:t>
      </w:r>
      <w:r>
        <w:rPr>
          <w:rFonts w:hint="eastAsia" w:ascii="Times New Roman" w:hAnsi="Times New Roman" w:eastAsia="仿宋_GB2312"/>
          <w:sz w:val="32"/>
          <w:szCs w:val="32"/>
        </w:rPr>
        <w:t>%，科技进步贡献率达到6</w:t>
      </w:r>
      <w:r>
        <w:rPr>
          <w:rFonts w:ascii="Times New Roman" w:hAnsi="Times New Roman" w:eastAsia="仿宋_GB2312"/>
          <w:sz w:val="32"/>
          <w:szCs w:val="32"/>
        </w:rPr>
        <w:t>2</w:t>
      </w:r>
      <w:r>
        <w:rPr>
          <w:rFonts w:hint="eastAsia" w:ascii="Times New Roman" w:hAnsi="Times New Roman" w:eastAsia="仿宋_GB2312"/>
          <w:sz w:val="32"/>
          <w:szCs w:val="32"/>
        </w:rPr>
        <w:t>%，科技型中小企业入库1</w:t>
      </w:r>
      <w:r>
        <w:rPr>
          <w:rFonts w:ascii="Times New Roman" w:hAnsi="Times New Roman" w:eastAsia="仿宋_GB2312"/>
          <w:sz w:val="32"/>
          <w:szCs w:val="32"/>
        </w:rPr>
        <w:t>8</w:t>
      </w:r>
      <w:r>
        <w:rPr>
          <w:rFonts w:hint="eastAsia" w:ascii="Times New Roman" w:hAnsi="Times New Roman" w:eastAsia="仿宋_GB2312"/>
          <w:sz w:val="32"/>
          <w:szCs w:val="32"/>
        </w:rPr>
        <w:t>个，</w:t>
      </w:r>
      <w:r>
        <w:rPr>
          <w:rFonts w:ascii="Times New Roman" w:hAnsi="Times New Roman" w:eastAsia="仿宋_GB2312"/>
          <w:sz w:val="32"/>
          <w:szCs w:val="32"/>
        </w:rPr>
        <w:t>形成具有核心竞争力的区域</w:t>
      </w:r>
      <w:r>
        <w:rPr>
          <w:rFonts w:hint="eastAsia" w:ascii="Times New Roman" w:hAnsi="Times New Roman" w:eastAsia="仿宋_GB2312"/>
          <w:sz w:val="32"/>
          <w:szCs w:val="32"/>
        </w:rPr>
        <w:t>创新</w:t>
      </w:r>
      <w:r>
        <w:rPr>
          <w:rFonts w:ascii="Times New Roman" w:hAnsi="Times New Roman" w:eastAsia="仿宋_GB2312"/>
          <w:sz w:val="32"/>
          <w:szCs w:val="32"/>
        </w:rPr>
        <w:t>体系。到</w:t>
      </w:r>
      <w:r>
        <w:rPr>
          <w:rFonts w:hint="eastAsia" w:ascii="Times New Roman" w:hAnsi="Times New Roman" w:eastAsia="仿宋_GB2312"/>
          <w:sz w:val="32"/>
          <w:szCs w:val="32"/>
        </w:rPr>
        <w:t>2035年</w:t>
      </w:r>
      <w:r>
        <w:rPr>
          <w:rFonts w:ascii="Times New Roman" w:hAnsi="Times New Roman" w:eastAsia="仿宋_GB2312"/>
          <w:sz w:val="32"/>
          <w:szCs w:val="32"/>
        </w:rPr>
        <w:t>，创新能力全面</w:t>
      </w:r>
      <w:r>
        <w:rPr>
          <w:rFonts w:hint="eastAsia" w:ascii="Times New Roman" w:hAnsi="Times New Roman" w:eastAsia="仿宋_GB2312"/>
          <w:sz w:val="32"/>
          <w:szCs w:val="32"/>
        </w:rPr>
        <w:t>提升，建成</w:t>
      </w:r>
      <w:r>
        <w:rPr>
          <w:rFonts w:ascii="Times New Roman" w:hAnsi="Times New Roman" w:eastAsia="仿宋_GB2312"/>
          <w:sz w:val="32"/>
          <w:szCs w:val="32"/>
        </w:rPr>
        <w:t>区域</w:t>
      </w:r>
      <w:r>
        <w:rPr>
          <w:rFonts w:hint="eastAsia" w:ascii="Times New Roman" w:hAnsi="Times New Roman" w:eastAsia="仿宋_GB2312"/>
          <w:sz w:val="32"/>
          <w:szCs w:val="32"/>
        </w:rPr>
        <w:t>科创</w:t>
      </w:r>
      <w:r>
        <w:rPr>
          <w:rFonts w:ascii="Times New Roman" w:hAnsi="Times New Roman" w:eastAsia="仿宋_GB2312"/>
          <w:sz w:val="32"/>
          <w:szCs w:val="32"/>
        </w:rPr>
        <w:t>中心。</w:t>
      </w:r>
    </w:p>
    <w:p w14:paraId="68A3FA37">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6" w:name="_Toc66443006"/>
      <w:r>
        <w:rPr>
          <w:rFonts w:hint="eastAsia" w:ascii="Times New Roman" w:hAnsi="Times New Roman" w:cs="宋体"/>
          <w:bCs w:val="0"/>
          <w:sz w:val="32"/>
          <w:szCs w:val="24"/>
        </w:rPr>
        <w:t>第一节 增强改革创新能力</w:t>
      </w:r>
      <w:bookmarkEnd w:id="356"/>
    </w:p>
    <w:p w14:paraId="486773AF">
      <w:pPr>
        <w:pStyle w:val="5"/>
        <w:keepNext w:val="0"/>
        <w:keepLines w:val="0"/>
        <w:numPr>
          <w:ilvl w:val="0"/>
          <w:numId w:val="37"/>
        </w:numPr>
        <w:adjustRightInd w:val="0"/>
        <w:snapToGrid w:val="0"/>
        <w:spacing w:before="0" w:after="0" w:line="600" w:lineRule="exact"/>
        <w:rPr>
          <w:rFonts w:eastAsia="楷体"/>
        </w:rPr>
      </w:pPr>
      <w:r>
        <w:rPr>
          <w:rFonts w:hint="eastAsia" w:eastAsia="楷体"/>
        </w:rPr>
        <w:t>持续推进行政效能改革</w:t>
      </w:r>
    </w:p>
    <w:p w14:paraId="4B351A8C">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深化政务公开改革，完善政务服务清单，加强绩效管理，提高政府运行透明度和办事效率。以市场准入负面清单为抓手，打造“审批事项最少、办事效率最高、投资环境最优”的金台政务生态系统。坚持力量下沉、关口前移，构建职责明晰、统分结合、简约高效的基层治理机制。积极推行政府购买服务，支持社会组织承接各类社会服务，建设人民满意的服务型政府。</w:t>
      </w:r>
    </w:p>
    <w:p w14:paraId="74E9E8DA">
      <w:pPr>
        <w:pStyle w:val="5"/>
        <w:keepNext w:val="0"/>
        <w:keepLines w:val="0"/>
        <w:numPr>
          <w:ilvl w:val="0"/>
          <w:numId w:val="37"/>
        </w:numPr>
        <w:adjustRightInd w:val="0"/>
        <w:snapToGrid w:val="0"/>
        <w:spacing w:before="0" w:after="0" w:line="600" w:lineRule="exact"/>
        <w:rPr>
          <w:rFonts w:eastAsia="楷体"/>
        </w:rPr>
      </w:pPr>
      <w:r>
        <w:rPr>
          <w:rFonts w:hint="eastAsia" w:eastAsia="楷体"/>
        </w:rPr>
        <w:t>深化要素市场化配置改革</w:t>
      </w:r>
    </w:p>
    <w:p w14:paraId="2306B50E">
      <w:pPr>
        <w:adjustRightInd w:val="0"/>
        <w:snapToGrid w:val="0"/>
        <w:spacing w:line="560" w:lineRule="exact"/>
        <w:ind w:firstLine="640" w:firstLineChars="200"/>
        <w:jc w:val="both"/>
        <w:rPr>
          <w:rFonts w:ascii="Times New Roman" w:hAnsi="Times New Roman" w:eastAsia="仿宋_GB2312" w:cs="宋体"/>
          <w:kern w:val="0"/>
          <w:sz w:val="32"/>
          <w:szCs w:val="32"/>
        </w:rPr>
      </w:pPr>
      <w:r>
        <w:rPr>
          <w:rFonts w:hint="eastAsia" w:ascii="Times New Roman" w:hAnsi="Times New Roman" w:eastAsia="仿宋_GB2312" w:cs="宋体"/>
          <w:kern w:val="0"/>
          <w:sz w:val="32"/>
          <w:szCs w:val="32"/>
        </w:rPr>
        <w:t>推进要素市场制度建设，实现要素价格市场决定、流动自主有序、配置高效公平。深化土地、劳动力、资本、人才等要素市场化配置改革，落实扩大国有土地有偿使用范围、放宽城市落户限制，落实好城镇基本公共服务与常住人口挂钩机制；推动放开金融服务业市场准入，增加民营企业的金融服务供给。加快培育技术和数据要素市场，健全科技成果产权制度，培育发展技术转移机构。</w:t>
      </w:r>
    </w:p>
    <w:p w14:paraId="38930796">
      <w:pPr>
        <w:pStyle w:val="5"/>
        <w:keepNext w:val="0"/>
        <w:keepLines w:val="0"/>
        <w:numPr>
          <w:ilvl w:val="0"/>
          <w:numId w:val="37"/>
        </w:numPr>
        <w:adjustRightInd w:val="0"/>
        <w:snapToGrid w:val="0"/>
        <w:spacing w:before="0" w:after="0" w:line="600" w:lineRule="exact"/>
        <w:rPr>
          <w:rFonts w:eastAsia="楷体"/>
        </w:rPr>
      </w:pPr>
      <w:r>
        <w:rPr>
          <w:rFonts w:hint="eastAsia" w:eastAsia="楷体"/>
        </w:rPr>
        <w:t>深入推进“放管服”改革</w:t>
      </w:r>
    </w:p>
    <w:p w14:paraId="71DFA6B7">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持续推动简政放权。</w:t>
      </w:r>
      <w:r>
        <w:rPr>
          <w:rFonts w:hint="eastAsia" w:ascii="Times New Roman" w:hAnsi="Times New Roman" w:eastAsia="仿宋_GB2312" w:cs="宋体"/>
          <w:kern w:val="0"/>
          <w:sz w:val="32"/>
          <w:szCs w:val="32"/>
        </w:rPr>
        <w:t>处理好政府和市场关系，减少政府的微观管理和直接干预，持续简政放权，转变政府职能，释放市场活力和社会创造力。进一步向市场和企业放权，深入推进行政审批制度改革，精简和规范各类行政许可事项，规范行政审批行为，落实不见面审批、容缺审批和网上审批，积极推广“区域评估”，全面推行联合评审、并联审批等。</w:t>
      </w:r>
    </w:p>
    <w:p w14:paraId="543B3723">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加强事中事后监管。</w:t>
      </w:r>
      <w:r>
        <w:rPr>
          <w:rFonts w:hint="eastAsia" w:ascii="Times New Roman" w:hAnsi="Times New Roman" w:eastAsia="仿宋_GB2312" w:cs="宋体"/>
          <w:kern w:val="0"/>
          <w:sz w:val="32"/>
          <w:szCs w:val="32"/>
        </w:rPr>
        <w:t>深入实施“双随机、一公开”监管，推进重点监管、信用监管等新型监管机制和联合惩戒机制，创新“互联网</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监管</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、包容审慎监管等方式。依法对市场和企业进行监管，建立监管责任追究机制，惩治监管权力寻租，对在</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放管服</w:t>
      </w:r>
      <w:r>
        <w:rPr>
          <w:rFonts w:ascii="Times New Roman" w:hAnsi="Times New Roman" w:eastAsia="仿宋_GB2312" w:cs="宋体"/>
          <w:kern w:val="0"/>
          <w:sz w:val="32"/>
          <w:szCs w:val="32"/>
        </w:rPr>
        <w:t>”</w:t>
      </w:r>
      <w:r>
        <w:rPr>
          <w:rFonts w:hint="eastAsia" w:ascii="Times New Roman" w:hAnsi="Times New Roman" w:eastAsia="仿宋_GB2312" w:cs="宋体"/>
          <w:kern w:val="0"/>
          <w:sz w:val="32"/>
          <w:szCs w:val="32"/>
        </w:rPr>
        <w:t>工作中出现的各种变相执行问题严厉问责。</w:t>
      </w:r>
    </w:p>
    <w:p w14:paraId="409FDA4F">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优化政务服务。</w:t>
      </w:r>
      <w:r>
        <w:rPr>
          <w:rFonts w:hint="eastAsia" w:ascii="Times New Roman" w:hAnsi="Times New Roman" w:eastAsia="仿宋_GB2312" w:cs="宋体"/>
          <w:kern w:val="0"/>
          <w:sz w:val="32"/>
          <w:szCs w:val="32"/>
        </w:rPr>
        <w:t>推动互联网与政务服务深度融合，让企业和群众办事更方便、更快捷。优化权力行使环节与流程，缩短办事时限，规范收费项目。通过整合资源、优化流程、强化协同，逐步推进数据共享、集成服务，建设好实体政务大厅“一扇门”，打造好政务高效服务“一张网”，推行群众企业办事“跑一次”。</w:t>
      </w:r>
    </w:p>
    <w:p w14:paraId="7458CE69">
      <w:pPr>
        <w:pStyle w:val="5"/>
        <w:keepNext w:val="0"/>
        <w:keepLines w:val="0"/>
        <w:numPr>
          <w:ilvl w:val="0"/>
          <w:numId w:val="37"/>
        </w:numPr>
        <w:adjustRightInd w:val="0"/>
        <w:snapToGrid w:val="0"/>
        <w:spacing w:before="0" w:after="0" w:line="600" w:lineRule="exact"/>
        <w:rPr>
          <w:rFonts w:eastAsia="楷体"/>
        </w:rPr>
      </w:pPr>
      <w:r>
        <w:rPr>
          <w:rFonts w:hint="eastAsia" w:eastAsia="楷体"/>
        </w:rPr>
        <w:t>加快财税和投融资体制改革</w:t>
      </w:r>
    </w:p>
    <w:p w14:paraId="691EE448">
      <w:pPr>
        <w:adjustRightInd w:val="0"/>
        <w:snapToGrid w:val="0"/>
        <w:spacing w:line="560" w:lineRule="exact"/>
        <w:ind w:firstLine="643" w:firstLineChars="200"/>
        <w:jc w:val="both"/>
        <w:rPr>
          <w:rFonts w:ascii="Times New Roman" w:hAnsi="Times New Roman" w:eastAsia="仿宋_GB2312" w:cs="宋体"/>
          <w:kern w:val="0"/>
          <w:sz w:val="32"/>
          <w:szCs w:val="32"/>
        </w:rPr>
      </w:pPr>
      <w:r>
        <w:rPr>
          <w:rFonts w:hint="eastAsia" w:ascii="Times New Roman" w:hAnsi="Times New Roman" w:eastAsia="仿宋_GB2312" w:cs="宋体"/>
          <w:b/>
          <w:kern w:val="0"/>
          <w:sz w:val="32"/>
          <w:szCs w:val="32"/>
        </w:rPr>
        <w:t>深化财税体制改革。</w:t>
      </w:r>
      <w:r>
        <w:rPr>
          <w:rFonts w:hint="eastAsia" w:ascii="Times New Roman" w:hAnsi="Times New Roman" w:eastAsia="仿宋_GB2312" w:cs="宋体"/>
          <w:kern w:val="0"/>
          <w:sz w:val="32"/>
          <w:szCs w:val="32"/>
        </w:rPr>
        <w:t>完善政府预算管理体系，加大政府性基金预算与一般公共预算的统筹力度，加强财政预算约束，实施跨年度预算平衡机制和中期财政规划管理。加强政府债务管理，落实政府举债负面清单管理制度，深入推进政府债务限额审批，优化政府债务结构。规范专项转移支付管理，减少专项转移支付项目数量，逐步取消竞争性领域投入专项，严格控制引导类、救济类、应急类专项。加强预算执行管理，健全预算绩效管理机制。进一步落实减税降费政策，激发市场主体活力。</w:t>
      </w:r>
    </w:p>
    <w:p w14:paraId="17703864">
      <w:pPr>
        <w:widowControl w:val="0"/>
        <w:adjustRightInd w:val="0"/>
        <w:snapToGrid w:val="0"/>
        <w:spacing w:line="560" w:lineRule="exact"/>
        <w:ind w:firstLine="643" w:firstLineChars="200"/>
        <w:jc w:val="both"/>
        <w:rPr>
          <w:rFonts w:ascii="仿宋_GB2312" w:hAnsi="仿宋_GB2312" w:eastAsia="仿宋_GB2312" w:cs="仿宋_GB2312"/>
          <w:kern w:val="0"/>
          <w:sz w:val="32"/>
          <w:szCs w:val="32"/>
        </w:rPr>
      </w:pPr>
      <w:r>
        <w:rPr>
          <w:rFonts w:hint="eastAsia" w:ascii="Times New Roman" w:hAnsi="Times New Roman" w:eastAsia="仿宋_GB2312" w:cs="宋体"/>
          <w:b/>
          <w:kern w:val="0"/>
          <w:sz w:val="32"/>
          <w:szCs w:val="32"/>
        </w:rPr>
        <w:t>深入推进投融资体制改革。</w:t>
      </w:r>
      <w:r>
        <w:rPr>
          <w:rFonts w:hint="eastAsia" w:ascii="仿宋_GB2312" w:hAnsi="仿宋_GB2312" w:eastAsia="仿宋_GB2312" w:cs="仿宋_GB2312"/>
          <w:kern w:val="0"/>
          <w:sz w:val="32"/>
          <w:szCs w:val="32"/>
        </w:rPr>
        <w:t>综合运用预算安排、财政贴息、风险补偿、基金引导等多种方式，引导、撬动金融和社会资本参与全区经济社会各项事业发展。推动公共服务供给方式多元化,推行特许经营、定向委托、竞争性评审等方式，引入竞争机制。完善政府和社会资本合作(PPP）模式，创新项目收益和分配机制。围绕服务实体经济，建设满足实体经济融资需求的多层次、多元化、互补型金融市场，进一步加大对中小微企业信贷投放力度。加大金融领域风险防控力度，健全完善金融风险预警预测机制和日常监管机制，稳妥化解风险隐患。</w:t>
      </w:r>
    </w:p>
    <w:p w14:paraId="6D09BD3B">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7" w:name="_Toc66443007"/>
      <w:r>
        <w:rPr>
          <w:rFonts w:hint="eastAsia" w:ascii="Times New Roman" w:hAnsi="Times New Roman" w:cs="宋体"/>
          <w:bCs w:val="0"/>
          <w:sz w:val="32"/>
          <w:szCs w:val="24"/>
        </w:rPr>
        <w:t>第二节 提升创新发展动力</w:t>
      </w:r>
      <w:bookmarkEnd w:id="357"/>
    </w:p>
    <w:p w14:paraId="477AD079">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积极培育创新主体</w:t>
      </w:r>
    </w:p>
    <w:p w14:paraId="640706C8">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着力培育创新型企业。</w:t>
      </w:r>
      <w:r>
        <w:rPr>
          <w:rFonts w:hint="eastAsia" w:ascii="Times New Roman" w:hAnsi="Times New Roman" w:eastAsia="仿宋_GB2312" w:cs="仿宋_GB2312"/>
          <w:sz w:val="32"/>
          <w:szCs w:val="32"/>
        </w:rPr>
        <w:t>支持宝石、中车、合力叉车等骨干企业建立技术中心、工程研究中心、重点实验室等研发机构，鼓励企业开展重大产业关键技术、装备和标准的研发攻关。扶持企业引进创新人才、加大技术研发投入。鼓励企业参与产业技术创新联盟、产业集群协同创新项目，加强产业上下游企业之间的科技创新配套协作。</w:t>
      </w:r>
    </w:p>
    <w:p w14:paraId="1D6BB310">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提升产学研创新水平。</w:t>
      </w:r>
      <w:r>
        <w:rPr>
          <w:rFonts w:hint="eastAsia" w:ascii="Times New Roman" w:hAnsi="Times New Roman" w:eastAsia="仿宋_GB2312" w:cs="仿宋_GB2312"/>
          <w:sz w:val="32"/>
          <w:szCs w:val="32"/>
        </w:rPr>
        <w:t>整合区内企业科技创新需求，加大</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产学研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合作，建立联合研发中心、联合实验室、实训基地。推进与高等院校在项目、资金、技术、人才等领域的对接，开展高端装备制造、电子信息、新材料等领域的技术创新，积极开展关键技术、共性技术的协同创新和联合攻关，组建科技成果转化和产学研协作产业联盟。争取到2</w:t>
      </w:r>
      <w:r>
        <w:rPr>
          <w:rFonts w:ascii="Times New Roman" w:hAnsi="Times New Roman" w:eastAsia="仿宋_GB2312" w:cs="仿宋_GB2312"/>
          <w:sz w:val="32"/>
          <w:szCs w:val="32"/>
        </w:rPr>
        <w:t>025</w:t>
      </w:r>
      <w:r>
        <w:rPr>
          <w:rFonts w:hint="eastAsia" w:ascii="Times New Roman" w:hAnsi="Times New Roman" w:eastAsia="仿宋_GB2312" w:cs="仿宋_GB2312"/>
          <w:sz w:val="32"/>
          <w:szCs w:val="32"/>
        </w:rPr>
        <w:t>年，每个产业集群建成一个创新中心或院士工作站。</w:t>
      </w:r>
    </w:p>
    <w:p w14:paraId="45BF7317">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加快</w:t>
      </w:r>
      <w:r>
        <w:rPr>
          <w:rFonts w:hint="eastAsia" w:eastAsia="楷体"/>
          <w:lang w:eastAsia="zh-CN"/>
        </w:rPr>
        <w:t>构建</w:t>
      </w:r>
      <w:r>
        <w:rPr>
          <w:rFonts w:hint="eastAsia" w:eastAsia="楷体"/>
        </w:rPr>
        <w:t>创新平台</w:t>
      </w:r>
    </w:p>
    <w:p w14:paraId="1B217075">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搭建公共技术创新平台。</w:t>
      </w:r>
      <w:r>
        <w:rPr>
          <w:rFonts w:hint="eastAsia" w:ascii="Times New Roman" w:hAnsi="Times New Roman" w:eastAsia="仿宋_GB2312" w:cs="仿宋_GB2312"/>
          <w:sz w:val="32"/>
          <w:szCs w:val="32"/>
        </w:rPr>
        <w:t>推进一批研发、试验、检测认证平台建设，构建开放高效、互联共享的技术平台体系。充分发挥龙头企业协同创新作用，鼓励区内企业吸收高校、科研院所的科技成果、技术、人才等创新资源要素，建立虚拟试验平台等各类公共技术平台，加速各类创新要素向区内企业流动。</w:t>
      </w:r>
    </w:p>
    <w:p w14:paraId="00AB4E6E">
      <w:pPr>
        <w:widowControl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完善科技中介服务平台。</w:t>
      </w:r>
      <w:r>
        <w:rPr>
          <w:rFonts w:hint="eastAsia" w:ascii="Times New Roman" w:hAnsi="Times New Roman" w:eastAsia="仿宋_GB2312" w:cs="仿宋_GB2312"/>
          <w:sz w:val="32"/>
          <w:szCs w:val="32"/>
        </w:rPr>
        <w:t>加快</w:t>
      </w:r>
      <w:r>
        <w:rPr>
          <w:rFonts w:hint="eastAsia" w:ascii="Times New Roman" w:hAnsi="Times New Roman" w:eastAsia="仿宋_GB2312" w:cs="仿宋_GB2312"/>
          <w:sz w:val="32"/>
          <w:szCs w:val="32"/>
          <w:lang w:eastAsia="zh-CN"/>
        </w:rPr>
        <w:t>构建</w:t>
      </w:r>
      <w:r>
        <w:rPr>
          <w:rFonts w:hint="eastAsia" w:ascii="Times New Roman" w:hAnsi="Times New Roman" w:eastAsia="仿宋_GB2312" w:cs="仿宋_GB2312"/>
          <w:sz w:val="32"/>
          <w:szCs w:val="32"/>
        </w:rPr>
        <w:t>科技成果企业信息服务、装备制造业服务等平台，为科技成果转化提供专业化服务。大力招引专利事务、技术交易等科技中介服务机构，与科技成果孵化中心、创新创业服务中心、政务服务中心形成网络化、多元化的中介服务体系。</w:t>
      </w:r>
    </w:p>
    <w:p w14:paraId="7C51F42C">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建设创新孵化承载平台。</w:t>
      </w:r>
      <w:r>
        <w:rPr>
          <w:rFonts w:hint="eastAsia" w:ascii="Times New Roman" w:hAnsi="Times New Roman" w:eastAsia="仿宋_GB2312" w:cs="仿宋_GB2312"/>
          <w:sz w:val="32"/>
          <w:szCs w:val="32"/>
        </w:rPr>
        <w:t>推进“创业家微公益计划”，鼓励社会资本、投资基金支持创客空间、创业咖啡、创新工场等新型孵化模式发展。依托大型商业综合体、楼宇，积极创建大学生创业孵化基地、中小企业创业园等。统筹行业领军企业、科研院所、投资机构等资源，大力发展市场化、网络化的“众创空间”“星创天地”。实现创新与创业相结合、线上与线下相结合、孵化与投资相结合，为广大创新创业者提供良好的工作、社交、资源共享空间。</w:t>
      </w:r>
    </w:p>
    <w:p w14:paraId="39752B94">
      <w:pPr>
        <w:pStyle w:val="5"/>
        <w:keepNext w:val="0"/>
        <w:keepLines w:val="0"/>
        <w:numPr>
          <w:ilvl w:val="0"/>
          <w:numId w:val="38"/>
        </w:numPr>
        <w:adjustRightInd w:val="0"/>
        <w:snapToGrid w:val="0"/>
        <w:spacing w:before="0" w:after="0" w:line="600" w:lineRule="exact"/>
        <w:ind w:firstLine="643" w:firstLineChars="200"/>
        <w:rPr>
          <w:rFonts w:eastAsia="楷体"/>
        </w:rPr>
      </w:pPr>
      <w:r>
        <w:rPr>
          <w:rFonts w:hint="eastAsia" w:eastAsia="楷体"/>
        </w:rPr>
        <w:t>优化创新服务环境</w:t>
      </w:r>
    </w:p>
    <w:p w14:paraId="507DA5A0">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提升创新创业服务水平。</w:t>
      </w:r>
      <w:r>
        <w:rPr>
          <w:rFonts w:hint="eastAsia" w:ascii="Times New Roman" w:hAnsi="Times New Roman" w:eastAsia="仿宋_GB2312" w:cs="仿宋_GB2312"/>
          <w:sz w:val="32"/>
          <w:szCs w:val="32"/>
        </w:rPr>
        <w:t>鼓励和支持创新创业企业公共专业服务平台和服务机构建设，为创新创业企业提供法律、知识产权、财务、检验检测认证和技术转移等服务，促进科技基础平台开放共享。加快电子商务基础建设，为创新创业企业搭建高效便利的交易平台，提高市场竞争力。</w:t>
      </w:r>
    </w:p>
    <w:p w14:paraId="53E0D8BB">
      <w:pPr>
        <w:widowControl w:val="0"/>
        <w:autoSpaceDE w:val="0"/>
        <w:autoSpaceDN w:val="0"/>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强化知识产权引领。</w:t>
      </w:r>
      <w:r>
        <w:rPr>
          <w:rFonts w:hint="eastAsia" w:ascii="Times New Roman" w:hAnsi="Times New Roman" w:eastAsia="仿宋_GB2312" w:cs="仿宋_GB2312"/>
          <w:sz w:val="32"/>
          <w:szCs w:val="32"/>
        </w:rPr>
        <w:t>支持创新专利申报，建立面向创新创业者的专利申请绿色通道，资助小微企业发明专利申请，支持创新发明及时申请国内外发明专利。推进知识产权转化，强化知识产权在转型升级中的重要性，推动创新创业者加强知识产权运营，支持创新发明专利交易和转化。加强专利产权保护，强化科技人员和科技管理人员的知识产权保护意识，健全完善知识产权保护信息通报制度和执法协作机制。</w:t>
      </w:r>
    </w:p>
    <w:p w14:paraId="522A7210">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支持创新创业教育。</w:t>
      </w:r>
      <w:r>
        <w:rPr>
          <w:rFonts w:hint="eastAsia" w:ascii="Times New Roman" w:hAnsi="Times New Roman" w:eastAsia="仿宋_GB2312" w:cs="仿宋_GB2312"/>
          <w:sz w:val="32"/>
          <w:szCs w:val="32"/>
        </w:rPr>
        <w:t>引导和鼓励众创空间、高等院校、社会机构开办以创客人才培养、创新项目指导、创业辅导、管理培训等内容的众创学校，形成</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创客</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众创学校</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众创空间</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多级对接。鼓励学校开展创客实践第二课堂，开设创客启蒙、进阶培训、手工创造、创意实践等课程。鼓励和支持中小学、高校设立创客实践室，完善配套设施，提升在校学生的动手实践能力和创新创业意识。</w:t>
      </w:r>
    </w:p>
    <w:p w14:paraId="23FB9226">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8" w:name="_Toc66443008"/>
      <w:r>
        <w:rPr>
          <w:rFonts w:hint="eastAsia" w:ascii="Times New Roman" w:hAnsi="Times New Roman" w:cs="宋体"/>
          <w:bCs w:val="0"/>
          <w:sz w:val="32"/>
          <w:szCs w:val="24"/>
        </w:rPr>
        <w:t>第三节 激发民营经济发展活力</w:t>
      </w:r>
      <w:bookmarkEnd w:id="358"/>
    </w:p>
    <w:p w14:paraId="3A55D154">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围绕优势产业集群，实施民营经济提升工程，落实鼓励引导支持民营经济发展的各项政策措施</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全面实施市场准入负面清单制度，打破行政性垄断，清理废除妨碍统一市场和公平竞争的规定和做法</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为各类所有制企业营造公平、透明、法治的发展环境。允许非公有制企业进入特许经营领域</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吸纳非公企业产品和服务进入政府采购目录。营造有利于企业家健康成长的良好氛围，保障民营企业家合法权益，不断增强民营企业投资和发展信心。推动民营企业与互联网深度融合和创新发展，应用</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大云移物智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等现代技术手段，推进生产方式、组织管理、服务与商业模式创新，推动民营企业数字化转型。</w:t>
      </w:r>
    </w:p>
    <w:p w14:paraId="0DA0FC3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59" w:name="_Toc6644300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推进专业人才队伍建设</w:t>
      </w:r>
      <w:bookmarkEnd w:id="359"/>
    </w:p>
    <w:p w14:paraId="51653BF0">
      <w:pPr>
        <w:pStyle w:val="5"/>
        <w:keepNext w:val="0"/>
        <w:keepLines w:val="0"/>
        <w:numPr>
          <w:ilvl w:val="0"/>
          <w:numId w:val="39"/>
        </w:numPr>
        <w:adjustRightInd w:val="0"/>
        <w:snapToGrid w:val="0"/>
        <w:spacing w:before="0" w:after="0" w:line="560" w:lineRule="exact"/>
        <w:ind w:firstLine="643" w:firstLineChars="200"/>
        <w:rPr>
          <w:rFonts w:eastAsia="楷体"/>
        </w:rPr>
      </w:pPr>
      <w:r>
        <w:rPr>
          <w:rFonts w:hint="eastAsia" w:eastAsia="楷体"/>
        </w:rPr>
        <w:t>大力引进高层次创新领军人才</w:t>
      </w:r>
    </w:p>
    <w:p w14:paraId="3A492507">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深入实施人才强区战略，聚焦关键核心领域人才需求</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突出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高、精、尖、缺</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导向，主动对接省市“高层次人才特殊支持计划”“博士服务团”等人才工程项目，采取项目引进、专项资助、境外培训和国际人才交流等方式，着力引进一批创新创业团队、高层次科技领军人才和高水平创新型人才。完善支持企业引进人才的政策措施，依托省市引智平台和宝石、中车、东岭等龙头企业，创新柔性招才引智机制，大力引进专业技术人员和管理人员，加快创新创业精英人才集聚。</w:t>
      </w:r>
    </w:p>
    <w:p w14:paraId="26EE2D10">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加强专业技术人才培养</w:t>
      </w:r>
    </w:p>
    <w:p w14:paraId="3BA9595C">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全面实施专业技术人才振兴行动计划和优质高职院校建设计划。搭建多方参与的人才合作培养平台，寻求多样化人才合作模式，鼓励培训与产业就业相结合，高标准实施新兴产业、大健康产业、现代服务业、先进制造业等重点产业和关键领域人才培养专项计划。依托宝鸡文理学院、陕西机电职业技术学院、陕西中北专修学院、亚太专修学院、陕西振华培训学院等院校，在经济、教育、文化、卫生等领域，培育一批满足经济社会高质量发展需要的专业技术人才，</w:t>
      </w:r>
      <w:r>
        <w:rPr>
          <w:rFonts w:hint="eastAsia" w:ascii="仿宋_GB2312" w:hAnsi="仿宋_GB2312" w:eastAsia="仿宋_GB2312" w:cs="仿宋_GB2312"/>
          <w:sz w:val="32"/>
          <w:szCs w:val="32"/>
        </w:rPr>
        <w:t>打响金台技工品牌</w:t>
      </w:r>
      <w:r>
        <w:rPr>
          <w:rFonts w:hint="eastAsia" w:ascii="Times New Roman" w:hAnsi="Times New Roman" w:eastAsia="仿宋_GB2312" w:cs="仿宋_GB2312"/>
          <w:sz w:val="32"/>
          <w:szCs w:val="32"/>
        </w:rPr>
        <w:t>。围绕乡村振兴和特色</w:t>
      </w:r>
      <w:r>
        <w:rPr>
          <w:rFonts w:hint="eastAsia" w:ascii="Times New Roman" w:hAnsi="Times New Roman" w:eastAsia="仿宋_GB2312" w:cs="仿宋_GB2312"/>
          <w:sz w:val="32"/>
          <w:szCs w:val="32"/>
          <w:lang w:eastAsia="zh-CN"/>
        </w:rPr>
        <w:t>种植养殖</w:t>
      </w:r>
      <w:r>
        <w:rPr>
          <w:rFonts w:hint="eastAsia" w:ascii="Times New Roman" w:hAnsi="Times New Roman" w:eastAsia="仿宋_GB2312" w:cs="仿宋_GB2312"/>
          <w:sz w:val="32"/>
          <w:szCs w:val="32"/>
        </w:rPr>
        <w:t>、乡村旅游等领域，积极培养乡土人才。</w:t>
      </w:r>
    </w:p>
    <w:p w14:paraId="5A24338B">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提升党政人才素养</w:t>
      </w:r>
    </w:p>
    <w:p w14:paraId="76514831">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制定科学的党政人才教育培训计划，依托各级党校、行政学院和干部学院，重点围绕理论基础、战略思维、世界眼光、党性锻炼和业务能力等内容开展全员教育培训，坚持重要人才重点培训，优秀人才加强培训，年轻人才经常培训，紧缺人才抓紧培训，每年协调干部参加各类培训。同时，制定干部学历提高规划和干部在职自学计划，通过立体化教育培养，提升干部队伍整体素质。</w:t>
      </w:r>
    </w:p>
    <w:p w14:paraId="33DD2090">
      <w:pPr>
        <w:pStyle w:val="5"/>
        <w:keepNext w:val="0"/>
        <w:keepLines w:val="0"/>
        <w:numPr>
          <w:ilvl w:val="0"/>
          <w:numId w:val="39"/>
        </w:numPr>
        <w:adjustRightInd w:val="0"/>
        <w:snapToGrid w:val="0"/>
        <w:spacing w:before="0" w:after="0" w:line="600" w:lineRule="exact"/>
        <w:ind w:firstLine="643" w:firstLineChars="200"/>
        <w:rPr>
          <w:rFonts w:eastAsia="楷体"/>
        </w:rPr>
      </w:pPr>
      <w:r>
        <w:rPr>
          <w:rFonts w:hint="eastAsia" w:eastAsia="楷体"/>
        </w:rPr>
        <w:t>优化人才发展环境</w:t>
      </w:r>
    </w:p>
    <w:p w14:paraId="3F0A9986">
      <w:pPr>
        <w:widowControl w:val="0"/>
        <w:adjustRightInd w:val="0"/>
        <w:snapToGrid w:val="0"/>
        <w:spacing w:line="560" w:lineRule="exact"/>
        <w:ind w:firstLine="640" w:firstLineChars="200"/>
        <w:jc w:val="both"/>
        <w:rPr>
          <w:rFonts w:ascii="Times New Roman" w:hAnsi="Times New Roman" w:eastAsia="仿宋_GB2312" w:cs="仿宋_GB2312"/>
          <w:sz w:val="32"/>
          <w:szCs w:val="32"/>
        </w:rPr>
      </w:pPr>
      <w:r>
        <w:rPr>
          <w:rFonts w:hint="eastAsia" w:ascii="Times New Roman" w:hAnsi="Times New Roman" w:eastAsia="仿宋_GB2312" w:cs="仿宋_GB2312"/>
          <w:sz w:val="32"/>
          <w:szCs w:val="32"/>
        </w:rPr>
        <w:t>深化人才发展体制机制改革，破除在人才管理、引进、培养、使用、评价、激励、流动、保障等方面的体制机制障碍，不断激发人才创新创业活力。探索建立人才、企业双向流动机制，通过开展交流培训、项目合作、技术攻关等方式，推进产业人才资源共享。完善政府服务人才职能，优化创业扶持、投资融资、成果转化等人才服务体系。建立标准的人才公共服务平台，营造良好的人才发展服务环境。完善人才后备保障体系搭建，在高端人才配偶就业、子女入学、安居住房、医疗保障等方面提供优质服务。</w:t>
      </w:r>
    </w:p>
    <w:p w14:paraId="6EF10C54">
      <w:pPr>
        <w:pStyle w:val="8"/>
      </w:pPr>
    </w:p>
    <w:p w14:paraId="2F1FBFEA">
      <w:pPr>
        <w:pStyle w:val="8"/>
      </w:pPr>
    </w:p>
    <w:p w14:paraId="7193F8D4">
      <w:pPr>
        <w:pStyle w:val="8"/>
      </w:pPr>
    </w:p>
    <w:p w14:paraId="0FC50586">
      <w:pPr>
        <w:pStyle w:val="8"/>
      </w:pPr>
    </w:p>
    <w:p w14:paraId="73F9CE4C">
      <w:pPr>
        <w:pStyle w:val="8"/>
      </w:pPr>
    </w:p>
    <w:p w14:paraId="39C1D7FB">
      <w:pPr>
        <w:pStyle w:val="8"/>
      </w:pPr>
    </w:p>
    <w:p w14:paraId="71408D06">
      <w:pPr>
        <w:pStyle w:val="8"/>
      </w:pP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4E7E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5000" w:type="pct"/>
          </w:tcPr>
          <w:p w14:paraId="43DEC33F">
            <w:pPr>
              <w:adjustRightInd w:val="0"/>
              <w:snapToGrid w:val="0"/>
              <w:spacing w:line="400" w:lineRule="exact"/>
              <w:jc w:val="center"/>
              <w:rPr>
                <w:rFonts w:ascii="Times New Roman" w:hAnsi="Times New Roman" w:eastAsia="黑体"/>
                <w:sz w:val="24"/>
                <w:szCs w:val="24"/>
              </w:rPr>
            </w:pPr>
            <w:r>
              <w:rPr>
                <w:rFonts w:hint="eastAsia" w:ascii="Times New Roman" w:hAnsi="Times New Roman" w:eastAsia="黑体"/>
                <w:sz w:val="28"/>
                <w:szCs w:val="28"/>
              </w:rPr>
              <w:t>专栏</w:t>
            </w:r>
            <w:r>
              <w:rPr>
                <w:rFonts w:ascii="Times New Roman" w:hAnsi="Times New Roman" w:eastAsia="黑体"/>
                <w:sz w:val="28"/>
                <w:szCs w:val="28"/>
              </w:rPr>
              <w:t>2</w:t>
            </w:r>
            <w:r>
              <w:rPr>
                <w:rFonts w:hint="eastAsia" w:ascii="Times New Roman" w:hAnsi="Times New Roman" w:eastAsia="黑体"/>
                <w:sz w:val="28"/>
                <w:szCs w:val="28"/>
              </w:rPr>
              <w:t>6</w:t>
            </w:r>
            <w:r>
              <w:rPr>
                <w:rFonts w:ascii="Times New Roman" w:hAnsi="Times New Roman" w:eastAsia="黑体"/>
                <w:sz w:val="28"/>
                <w:szCs w:val="28"/>
              </w:rPr>
              <w:t xml:space="preserve"> </w:t>
            </w:r>
            <w:r>
              <w:rPr>
                <w:rFonts w:hint="eastAsia" w:ascii="Times New Roman" w:hAnsi="Times New Roman" w:eastAsia="黑体"/>
                <w:sz w:val="28"/>
                <w:szCs w:val="28"/>
              </w:rPr>
              <w:t>人才队伍建设八大重点工程</w:t>
            </w:r>
          </w:p>
        </w:tc>
      </w:tr>
      <w:tr w14:paraId="4C0BD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5000" w:type="pct"/>
          </w:tcPr>
          <w:p w14:paraId="735CC45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1.实施“双百人才”招纳工程。</w:t>
            </w:r>
            <w:r>
              <w:rPr>
                <w:rFonts w:hint="eastAsia" w:ascii="仿宋_GB2312" w:hAnsi="仿宋_GB2312" w:eastAsia="仿宋_GB2312" w:cs="仿宋_GB2312"/>
                <w:sz w:val="28"/>
                <w:szCs w:val="28"/>
              </w:rPr>
              <w:t>围绕全区产业发展规划和人才实际需要，招录各类机关事业人才。引导各类企业、社会组织吸纳聚集各类企业经营管理人才、社会工作人才。</w:t>
            </w:r>
          </w:p>
          <w:p w14:paraId="2D4A1D48">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2.实施“农村人才”振兴工程。</w:t>
            </w:r>
            <w:r>
              <w:rPr>
                <w:rFonts w:hint="eastAsia" w:ascii="仿宋_GB2312" w:hAnsi="仿宋_GB2312" w:eastAsia="仿宋_GB2312" w:cs="仿宋_GB2312"/>
                <w:sz w:val="28"/>
                <w:szCs w:val="28"/>
              </w:rPr>
              <w:t>分类培育新型职业农民、农技推广乡土人才，开展乡土人才评选活动。</w:t>
            </w:r>
          </w:p>
          <w:p w14:paraId="3A144BB5">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3.实施“本土人才”回引工程。</w:t>
            </w:r>
            <w:r>
              <w:rPr>
                <w:rFonts w:hint="eastAsia" w:ascii="仿宋_GB2312" w:hAnsi="仿宋_GB2312" w:eastAsia="仿宋_GB2312" w:cs="仿宋_GB2312"/>
                <w:sz w:val="28"/>
                <w:szCs w:val="28"/>
              </w:rPr>
              <w:t>吸引自带资金、技术、专利等宝鸡籍在外人才回金台创业投资、兴办企业。大力吸引宝鸡籍毕业生或大学本科以上学历的</w:t>
            </w:r>
            <w:r>
              <w:rPr>
                <w:rFonts w:hint="eastAsia" w:ascii="仿宋_GB2312" w:hAnsi="仿宋_GB2312" w:eastAsia="仿宋_GB2312" w:cs="仿宋_GB2312"/>
                <w:sz w:val="28"/>
                <w:szCs w:val="28"/>
                <w:lang w:eastAsia="zh-CN"/>
              </w:rPr>
              <w:t>专业型</w:t>
            </w:r>
            <w:r>
              <w:rPr>
                <w:rFonts w:hint="eastAsia" w:ascii="仿宋_GB2312" w:hAnsi="仿宋_GB2312" w:eastAsia="仿宋_GB2312" w:cs="仿宋_GB2312"/>
                <w:sz w:val="28"/>
                <w:szCs w:val="28"/>
              </w:rPr>
              <w:t>人才。加大优秀农民工回引力度。</w:t>
            </w:r>
          </w:p>
          <w:p w14:paraId="27C96AB2">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4.实施“头雁培育”引领工程。</w:t>
            </w:r>
            <w:r>
              <w:rPr>
                <w:rFonts w:hint="eastAsia" w:ascii="仿宋_GB2312" w:hAnsi="仿宋_GB2312" w:eastAsia="仿宋_GB2312" w:cs="仿宋_GB2312"/>
                <w:sz w:val="28"/>
                <w:szCs w:val="28"/>
              </w:rPr>
              <w:t>开展“名师、名医、名人”培养工程。实施区管拔尖人才评选、乡土人才选拔工作，瞄准一批前沿学科，高起点、高标准培养年轻优秀科技人才。</w:t>
            </w:r>
          </w:p>
          <w:p w14:paraId="18E3DA1A">
            <w:pPr>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5.实施“借智借力”聚才工程。</w:t>
            </w:r>
            <w:r>
              <w:rPr>
                <w:rFonts w:hint="eastAsia" w:ascii="仿宋_GB2312" w:hAnsi="仿宋_GB2312" w:eastAsia="仿宋_GB2312" w:cs="仿宋_GB2312"/>
                <w:sz w:val="28"/>
                <w:szCs w:val="28"/>
              </w:rPr>
              <w:t>依托省博士服务团、市“百名专家人才下基层</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一把手”进高校进院所等活动，洽谈对接“产学研”校地合作项目。采取“引、请”结合，走以项目引人才、人才带项目的路子。</w:t>
            </w:r>
          </w:p>
          <w:p w14:paraId="483B5741">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6.实施“助才成长”培育工程。</w:t>
            </w:r>
            <w:r>
              <w:rPr>
                <w:rFonts w:hint="eastAsia" w:ascii="仿宋_GB2312" w:hAnsi="仿宋_GB2312" w:eastAsia="仿宋_GB2312" w:cs="仿宋_GB2312"/>
                <w:sz w:val="28"/>
                <w:szCs w:val="28"/>
              </w:rPr>
              <w:t>每年对全区机关事业单位人员进行全员培训。采取选调或引导外派学习等方式，有计划地组织各类经营管理人才接受教育、提升能力。</w:t>
            </w:r>
          </w:p>
          <w:p w14:paraId="2D0C1987">
            <w:pPr>
              <w:widowControl w:val="0"/>
              <w:adjustRightInd w:val="0"/>
              <w:snapToGrid w:val="0"/>
              <w:spacing w:line="400" w:lineRule="exact"/>
              <w:ind w:firstLine="562" w:firstLineChars="200"/>
              <w:jc w:val="both"/>
              <w:rPr>
                <w:rFonts w:ascii="仿宋_GB2312" w:hAnsi="仿宋_GB2312" w:eastAsia="仿宋_GB2312" w:cs="仿宋_GB2312"/>
                <w:sz w:val="28"/>
                <w:szCs w:val="28"/>
              </w:rPr>
            </w:pPr>
            <w:r>
              <w:rPr>
                <w:rFonts w:hint="eastAsia" w:ascii="仿宋_GB2312" w:hAnsi="仿宋_GB2312" w:eastAsia="仿宋_GB2312" w:cs="仿宋_GB2312"/>
                <w:b/>
                <w:sz w:val="28"/>
                <w:szCs w:val="28"/>
              </w:rPr>
              <w:t>7.实施“爱国奉献”建功工程。</w:t>
            </w:r>
            <w:r>
              <w:rPr>
                <w:rFonts w:hint="eastAsia" w:ascii="仿宋_GB2312" w:hAnsi="仿宋_GB2312" w:eastAsia="仿宋_GB2312" w:cs="仿宋_GB2312"/>
                <w:sz w:val="28"/>
                <w:szCs w:val="28"/>
              </w:rPr>
              <w:t>引导各类人才、知识分子立足岗位职能，开展岗位建功、工作创新、敬业奉献等创先争优活动。组织各类优秀人才到工作生产、基层一线，开展项目合作、技术咨询、讲学培训、结对帮扶等活动。</w:t>
            </w:r>
          </w:p>
          <w:p w14:paraId="2614BD43">
            <w:pPr>
              <w:widowControl w:val="0"/>
              <w:adjustRightInd w:val="0"/>
              <w:snapToGrid w:val="0"/>
              <w:spacing w:line="400" w:lineRule="exact"/>
              <w:ind w:firstLine="562" w:firstLineChars="200"/>
              <w:jc w:val="both"/>
              <w:rPr>
                <w:rFonts w:ascii="Times New Roman" w:hAnsi="Times New Roman" w:eastAsia="仿宋_GB2312"/>
                <w:sz w:val="28"/>
                <w:szCs w:val="28"/>
              </w:rPr>
            </w:pPr>
            <w:r>
              <w:rPr>
                <w:rFonts w:hint="eastAsia" w:ascii="仿宋_GB2312" w:hAnsi="仿宋_GB2312" w:eastAsia="仿宋_GB2312" w:cs="仿宋_GB2312"/>
                <w:b/>
                <w:sz w:val="28"/>
                <w:szCs w:val="28"/>
              </w:rPr>
              <w:t>8.实施“人才服务”暖心工程。</w:t>
            </w:r>
            <w:r>
              <w:rPr>
                <w:rFonts w:hint="eastAsia" w:ascii="仿宋_GB2312" w:hAnsi="仿宋_GB2312" w:eastAsia="仿宋_GB2312" w:cs="仿宋_GB2312"/>
                <w:sz w:val="28"/>
                <w:szCs w:val="28"/>
              </w:rPr>
              <w:t>探索推行人才服务卡制度，对高层次人才在住房保障、子女上学、就医、旅游等方面建立绿色通道，享受相应优惠服务。落实区管拔尖人才津贴薪酬。优先支持各类人才参加研讨会、专业培训、跟班学习等活动。</w:t>
            </w:r>
          </w:p>
        </w:tc>
      </w:tr>
    </w:tbl>
    <w:p w14:paraId="49336C7F">
      <w:pPr>
        <w:widowControl w:val="0"/>
        <w:adjustRightInd w:val="0"/>
        <w:snapToGrid w:val="0"/>
        <w:spacing w:line="543" w:lineRule="exact"/>
        <w:ind w:firstLine="640" w:firstLineChars="200"/>
        <w:jc w:val="both"/>
        <w:rPr>
          <w:rFonts w:ascii="Times New Roman" w:hAnsi="Times New Roman" w:eastAsia="仿宋_GB2312" w:cs="仿宋_GB2312"/>
          <w:sz w:val="32"/>
          <w:szCs w:val="32"/>
        </w:rPr>
      </w:pPr>
    </w:p>
    <w:p w14:paraId="769D155F">
      <w:pPr>
        <w:rPr>
          <w:rFonts w:ascii="Times New Roman" w:hAnsi="Times New Roman"/>
        </w:rPr>
        <w:sectPr>
          <w:pgSz w:w="11907" w:h="16840"/>
          <w:pgMar w:top="1440" w:right="1474" w:bottom="1440" w:left="1588" w:header="851" w:footer="992" w:gutter="0"/>
          <w:cols w:space="425" w:num="1"/>
          <w:docGrid w:linePitch="312" w:charSpace="0"/>
        </w:sectPr>
      </w:pPr>
    </w:p>
    <w:p w14:paraId="6C03DB65">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60" w:name="_Toc66443010"/>
      <w:r>
        <w:rPr>
          <w:rFonts w:hint="eastAsia" w:eastAsia="方正小标宋简体"/>
          <w:b w:val="0"/>
          <w:iCs/>
          <w:kern w:val="2"/>
          <w:sz w:val="36"/>
          <w:szCs w:val="36"/>
        </w:rPr>
        <w:t>提高开放引领作用，打造对外开放新高地</w:t>
      </w:r>
      <w:bookmarkEnd w:id="350"/>
      <w:bookmarkEnd w:id="351"/>
      <w:bookmarkEnd w:id="352"/>
      <w:bookmarkEnd w:id="353"/>
      <w:bookmarkEnd w:id="354"/>
      <w:bookmarkEnd w:id="360"/>
    </w:p>
    <w:p w14:paraId="6B59D730">
      <w:pPr>
        <w:adjustRightInd w:val="0"/>
        <w:snapToGrid w:val="0"/>
        <w:spacing w:line="52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积极融入国内国际双循环，创新对外合作模式，</w:t>
      </w:r>
      <w:r>
        <w:rPr>
          <w:rFonts w:ascii="Times New Roman" w:hAnsi="Times New Roman" w:eastAsia="仿宋_GB2312"/>
          <w:sz w:val="32"/>
          <w:szCs w:val="32"/>
        </w:rPr>
        <w:t>做强开放主体，建设高质量开放平台，构建开放新机制，</w:t>
      </w:r>
      <w:r>
        <w:rPr>
          <w:rFonts w:hint="eastAsia" w:ascii="Times New Roman" w:hAnsi="Times New Roman" w:eastAsia="仿宋_GB2312"/>
          <w:sz w:val="32"/>
          <w:szCs w:val="32"/>
          <w:lang w:eastAsia="zh-CN"/>
        </w:rPr>
        <w:t>加大</w:t>
      </w:r>
      <w:r>
        <w:rPr>
          <w:rFonts w:hint="eastAsia" w:ascii="Times New Roman" w:hAnsi="Times New Roman" w:eastAsia="仿宋_GB2312"/>
          <w:sz w:val="32"/>
          <w:szCs w:val="32"/>
        </w:rPr>
        <w:t>区域合作力度，坚持</w:t>
      </w:r>
      <w:r>
        <w:rPr>
          <w:rFonts w:hint="eastAsia" w:ascii="Times New Roman" w:hAnsi="Times New Roman" w:eastAsia="仿宋_GB2312"/>
          <w:sz w:val="32"/>
          <w:szCs w:val="32"/>
          <w:lang w:eastAsia="zh-CN"/>
        </w:rPr>
        <w:t>“引进来”和“走出去”</w:t>
      </w:r>
      <w:r>
        <w:rPr>
          <w:rFonts w:hint="eastAsia" w:ascii="Times New Roman" w:hAnsi="Times New Roman" w:eastAsia="仿宋_GB2312"/>
          <w:sz w:val="32"/>
          <w:szCs w:val="32"/>
        </w:rPr>
        <w:t>相结合，增强对优质要素的吸引力，建设区域开放交往中心。到2025年，完善全区开放交往</w:t>
      </w:r>
      <w:r>
        <w:rPr>
          <w:rFonts w:ascii="Times New Roman" w:hAnsi="Times New Roman" w:eastAsia="仿宋_GB2312"/>
          <w:sz w:val="32"/>
          <w:szCs w:val="32"/>
        </w:rPr>
        <w:t>的基础设施，开放</w:t>
      </w:r>
      <w:r>
        <w:rPr>
          <w:rFonts w:hint="eastAsia" w:ascii="Times New Roman" w:hAnsi="Times New Roman" w:eastAsia="仿宋_GB2312"/>
          <w:sz w:val="32"/>
          <w:szCs w:val="32"/>
        </w:rPr>
        <w:t>程度</w:t>
      </w:r>
      <w:r>
        <w:rPr>
          <w:rFonts w:ascii="Times New Roman" w:hAnsi="Times New Roman" w:eastAsia="仿宋_GB2312"/>
          <w:sz w:val="32"/>
          <w:szCs w:val="32"/>
        </w:rPr>
        <w:t>全面提升。</w:t>
      </w:r>
      <w:r>
        <w:rPr>
          <w:rFonts w:hint="eastAsia" w:ascii="Times New Roman" w:hAnsi="Times New Roman" w:eastAsia="仿宋_GB2312"/>
          <w:sz w:val="32"/>
          <w:szCs w:val="32"/>
        </w:rPr>
        <w:t>到2035年</w:t>
      </w:r>
      <w:r>
        <w:rPr>
          <w:rFonts w:ascii="Times New Roman" w:hAnsi="Times New Roman" w:eastAsia="仿宋_GB2312"/>
          <w:sz w:val="32"/>
          <w:szCs w:val="32"/>
        </w:rPr>
        <w:t>，形成东西双向</w:t>
      </w:r>
      <w:r>
        <w:rPr>
          <w:rFonts w:hint="eastAsia" w:ascii="Times New Roman" w:hAnsi="Times New Roman" w:eastAsia="仿宋_GB2312"/>
          <w:sz w:val="32"/>
          <w:szCs w:val="32"/>
        </w:rPr>
        <w:t>互济</w:t>
      </w:r>
      <w:r>
        <w:rPr>
          <w:rFonts w:ascii="Times New Roman" w:hAnsi="Times New Roman" w:eastAsia="仿宋_GB2312"/>
          <w:sz w:val="32"/>
          <w:szCs w:val="32"/>
        </w:rPr>
        <w:t>的开放交往新格局。</w:t>
      </w:r>
    </w:p>
    <w:p w14:paraId="4FF04C03">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1" w:name="_Toc66443011"/>
      <w:r>
        <w:rPr>
          <w:rFonts w:hint="eastAsia" w:ascii="Times New Roman" w:hAnsi="Times New Roman" w:cs="宋体"/>
          <w:bCs w:val="0"/>
          <w:sz w:val="32"/>
          <w:szCs w:val="24"/>
        </w:rPr>
        <w:t>第一节 加大开放力度接轨外循环</w:t>
      </w:r>
      <w:bookmarkEnd w:id="361"/>
    </w:p>
    <w:p w14:paraId="6086AD13">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积极扩大外部市场</w:t>
      </w:r>
    </w:p>
    <w:p w14:paraId="0FF72182">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以中亚、西亚市场为重点，扩大外部市场。加强资本引进、渠道建设、市场对接，互促共进、共同发展，引进一批世界</w:t>
      </w:r>
      <w:r>
        <w:rPr>
          <w:rFonts w:ascii="Times New Roman" w:hAnsi="Times New Roman" w:eastAsia="仿宋_GB2312"/>
          <w:sz w:val="32"/>
          <w:szCs w:val="32"/>
        </w:rPr>
        <w:t>500</w:t>
      </w:r>
      <w:r>
        <w:rPr>
          <w:rFonts w:hint="eastAsia" w:ascii="Times New Roman" w:hAnsi="Times New Roman" w:eastAsia="仿宋_GB2312"/>
          <w:sz w:val="32"/>
          <w:szCs w:val="32"/>
        </w:rPr>
        <w:t>强跨国企业落户金台。培育一批国际化、外向型企业，扩大商贸流通、科技教育、文化旅游、信息服务等方面交流合作，支持东岭集团、振兴石油等龙头企业扩展海外市场，打造“海外金台”，推动外经外贸优化升级，形成双向投资并驾齐驱的良好局面。</w:t>
      </w:r>
    </w:p>
    <w:p w14:paraId="72113C91">
      <w:pPr>
        <w:pStyle w:val="5"/>
        <w:keepNext w:val="0"/>
        <w:keepLines w:val="0"/>
        <w:numPr>
          <w:ilvl w:val="0"/>
          <w:numId w:val="40"/>
        </w:numPr>
        <w:adjustRightInd w:val="0"/>
        <w:snapToGrid w:val="0"/>
        <w:spacing w:before="0" w:after="0" w:line="600" w:lineRule="exact"/>
        <w:ind w:firstLine="643" w:firstLineChars="200"/>
        <w:rPr>
          <w:rFonts w:eastAsia="楷体"/>
        </w:rPr>
      </w:pPr>
      <w:r>
        <w:rPr>
          <w:rFonts w:hint="eastAsia" w:eastAsia="楷体"/>
        </w:rPr>
        <w:t>加快开放平台建设</w:t>
      </w:r>
    </w:p>
    <w:p w14:paraId="2C732426">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主动服务和融入国家“一带一路”建设，引领、深化与周边国家的交流合作，积极参与和推动面向中亚、西亚地区的国际合作，构建区域性公共事务平台、商务活动平台、协调联动平台，深化对外开放交流与合作，支持蟠龙高新区积极建设外资项目“区中园”，提高金河工业园区外贸产业园外向型经济发展水平，形成全方位、宽领域、多层次的开放格局。</w:t>
      </w:r>
    </w:p>
    <w:p w14:paraId="40F718EA">
      <w:pPr>
        <w:spacing w:line="520" w:lineRule="exact"/>
        <w:rPr>
          <w:rFonts w:ascii="Times New Roman" w:hAnsi="Times New Roman" w:eastAsia="仿宋_GB2312"/>
          <w:sz w:val="32"/>
          <w:szCs w:val="32"/>
        </w:rPr>
      </w:pPr>
      <w:r>
        <w:rPr>
          <w:rFonts w:hint="eastAsia" w:ascii="Times New Roman" w:hAnsi="Times New Roman" w:eastAsia="仿宋_GB2312"/>
          <w:sz w:val="32"/>
          <w:szCs w:val="32"/>
        </w:rPr>
        <w:br w:type="page"/>
      </w:r>
    </w:p>
    <w:p w14:paraId="451C593D">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2" w:name="_Toc43823136"/>
      <w:bookmarkStart w:id="363" w:name="_Toc43822991"/>
      <w:bookmarkStart w:id="364" w:name="_Toc66443012"/>
      <w:r>
        <w:rPr>
          <w:rFonts w:hint="eastAsia" w:ascii="Times New Roman" w:hAnsi="Times New Roman" w:cs="宋体"/>
          <w:bCs w:val="0"/>
          <w:sz w:val="32"/>
          <w:szCs w:val="24"/>
        </w:rPr>
        <w:t>第二节 加强区域协同</w:t>
      </w:r>
      <w:bookmarkEnd w:id="362"/>
      <w:bookmarkEnd w:id="363"/>
      <w:r>
        <w:rPr>
          <w:rFonts w:hint="eastAsia" w:ascii="Times New Roman" w:hAnsi="Times New Roman" w:cs="宋体"/>
          <w:bCs w:val="0"/>
          <w:sz w:val="32"/>
          <w:szCs w:val="24"/>
        </w:rPr>
        <w:t>拓展内循环</w:t>
      </w:r>
      <w:bookmarkEnd w:id="364"/>
    </w:p>
    <w:p w14:paraId="6FB651C5">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承接产业转移深化区域合作</w:t>
      </w:r>
    </w:p>
    <w:p w14:paraId="4FFAE041">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以“一带一路”、京津冀协同发展、长三角一体化、粤</w:t>
      </w:r>
      <w:r>
        <w:rPr>
          <w:rFonts w:hint="eastAsia" w:ascii="Times New Roman" w:hAnsi="Times New Roman" w:eastAsia="仿宋_GB2312" w:cs="仿宋_GB2312"/>
          <w:sz w:val="32"/>
          <w:szCs w:val="32"/>
        </w:rPr>
        <w:t>港澳大湾区建设等为契机，依托金台</w:t>
      </w:r>
      <w:r>
        <w:rPr>
          <w:rFonts w:hint="eastAsia" w:ascii="Times New Roman" w:hAnsi="Times New Roman" w:eastAsia="仿宋_GB2312"/>
          <w:sz w:val="32"/>
          <w:szCs w:val="32"/>
        </w:rPr>
        <w:t>现有优势产业和重点发展战略性新兴产业为导向</w:t>
      </w:r>
      <w:r>
        <w:rPr>
          <w:rFonts w:ascii="Times New Roman" w:hAnsi="Times New Roman" w:eastAsia="仿宋_GB2312"/>
          <w:sz w:val="32"/>
          <w:szCs w:val="32"/>
        </w:rPr>
        <w:t>,以构筑优势产业链</w:t>
      </w:r>
      <w:r>
        <w:rPr>
          <w:rFonts w:hint="eastAsia" w:ascii="Times New Roman" w:hAnsi="Times New Roman" w:eastAsia="仿宋_GB2312"/>
          <w:sz w:val="32"/>
          <w:szCs w:val="32"/>
        </w:rPr>
        <w:t>为基本思路，承接京津冀、长三角、珠三角等沿海发达地区重点转移产业。深化与京津冀、珠三角、长三角等区域在承接产业、园区共建、科技创新和人才培养等方面的合作，尽快在金台打造一批现代化的优势制造业集群。</w:t>
      </w:r>
    </w:p>
    <w:p w14:paraId="350654FA">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深化关中平原城市群协同发展</w:t>
      </w:r>
    </w:p>
    <w:p w14:paraId="02E210FA">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提升副中心城市核心区的综合承载能力和区域辐射能力，</w:t>
      </w:r>
      <w:r>
        <w:rPr>
          <w:rFonts w:ascii="Times New Roman" w:hAnsi="Times New Roman" w:eastAsia="仿宋_GB2312"/>
          <w:sz w:val="32"/>
          <w:szCs w:val="32"/>
        </w:rPr>
        <w:t>加强与关中平原城市群各</w:t>
      </w:r>
      <w:r>
        <w:rPr>
          <w:rFonts w:hint="eastAsia" w:ascii="Times New Roman" w:hAnsi="Times New Roman" w:eastAsia="仿宋_GB2312"/>
          <w:sz w:val="32"/>
          <w:szCs w:val="32"/>
        </w:rPr>
        <w:t>区县</w:t>
      </w:r>
      <w:r>
        <w:rPr>
          <w:rFonts w:ascii="Times New Roman" w:hAnsi="Times New Roman" w:eastAsia="仿宋_GB2312"/>
          <w:sz w:val="32"/>
          <w:szCs w:val="32"/>
        </w:rPr>
        <w:t>交流合作，</w:t>
      </w:r>
      <w:r>
        <w:rPr>
          <w:rFonts w:hint="eastAsia" w:ascii="Times New Roman" w:hAnsi="Times New Roman" w:eastAsia="仿宋_GB2312"/>
          <w:sz w:val="32"/>
          <w:szCs w:val="32"/>
        </w:rPr>
        <w:t>促进与西安国家中心城市实现“差异化”发展，持续巩固向西开放的门户枢纽地位。加强与西安港务区物流枢纽互联互通、共享共用；加强与西安经开区高端装备制造、电子信息产业的交流合作；加强与西安城三区、曲江新区现代服务业的交流合作。鼓励和推动高校、科研院所与金台企业组建产业协同创新中心、产业共性技术研发基地等，联合开展前瞻性基础研究、引领性原创成果重大突破，推动西安等地科技创新成果在金台转移转化。</w:t>
      </w:r>
    </w:p>
    <w:p w14:paraId="0BCA9CC7">
      <w:pPr>
        <w:pStyle w:val="5"/>
        <w:keepNext w:val="0"/>
        <w:keepLines w:val="0"/>
        <w:numPr>
          <w:ilvl w:val="0"/>
          <w:numId w:val="41"/>
        </w:numPr>
        <w:adjustRightInd w:val="0"/>
        <w:snapToGrid w:val="0"/>
        <w:spacing w:before="0" w:after="0" w:line="600" w:lineRule="exact"/>
        <w:ind w:firstLine="643" w:firstLineChars="200"/>
        <w:rPr>
          <w:rFonts w:eastAsia="楷体"/>
        </w:rPr>
      </w:pPr>
      <w:r>
        <w:rPr>
          <w:rFonts w:hint="eastAsia" w:eastAsia="楷体"/>
        </w:rPr>
        <w:t>加强友好城市交往合作</w:t>
      </w:r>
    </w:p>
    <w:p w14:paraId="16742276">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拓宽与连云港等12个国内友好市区在通道建设、现代物流、产业互动、科研院所、文化旅游、人才交流等领域的交往合作，协同推进资源、要素交流对接，建设技术转化和产品转移等服务体系，承接一批重大产业转移项目落地金台。巩固苏陕扶贫协作成果，增强与徐州市互动交流。加强与俄罗斯奔萨州奔萨市、马来西亚槟城等城市交往联系，提升合作水平。</w:t>
      </w:r>
    </w:p>
    <w:p w14:paraId="3B4A0F82">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65" w:name="_Toc42610338"/>
      <w:bookmarkStart w:id="366" w:name="_Toc53863328"/>
      <w:bookmarkStart w:id="367" w:name="_Toc66443013"/>
      <w:bookmarkStart w:id="368" w:name="_Toc50988349"/>
      <w:bookmarkStart w:id="369" w:name="_Toc50988097"/>
      <w:bookmarkStart w:id="370" w:name="_Toc50710133"/>
      <w:bookmarkStart w:id="371" w:name="_Toc49276085"/>
      <w:r>
        <w:rPr>
          <w:rFonts w:hint="eastAsia" w:ascii="Times New Roman" w:hAnsi="Times New Roman" w:cs="宋体"/>
          <w:bCs w:val="0"/>
          <w:sz w:val="32"/>
          <w:szCs w:val="24"/>
        </w:rPr>
        <w:t>第三节 提升开放合作水平</w:t>
      </w:r>
      <w:bookmarkEnd w:id="365"/>
      <w:bookmarkEnd w:id="366"/>
      <w:bookmarkEnd w:id="367"/>
      <w:bookmarkEnd w:id="368"/>
      <w:bookmarkEnd w:id="369"/>
      <w:bookmarkEnd w:id="370"/>
      <w:bookmarkEnd w:id="371"/>
    </w:p>
    <w:p w14:paraId="675A07E2">
      <w:pPr>
        <w:pStyle w:val="5"/>
        <w:keepNext w:val="0"/>
        <w:keepLines w:val="0"/>
        <w:numPr>
          <w:ilvl w:val="0"/>
          <w:numId w:val="42"/>
        </w:numPr>
        <w:adjustRightInd w:val="0"/>
        <w:snapToGrid w:val="0"/>
        <w:spacing w:before="0" w:after="0" w:line="600" w:lineRule="exact"/>
        <w:ind w:firstLine="641"/>
        <w:rPr>
          <w:rFonts w:eastAsia="楷体"/>
        </w:rPr>
      </w:pPr>
      <w:bookmarkStart w:id="372" w:name="_Toc43822992"/>
      <w:bookmarkStart w:id="373" w:name="_Toc43823137"/>
      <w:r>
        <w:rPr>
          <w:rFonts w:hint="eastAsia" w:eastAsia="楷体"/>
        </w:rPr>
        <w:t>打造对外开放新模式</w:t>
      </w:r>
      <w:bookmarkEnd w:id="372"/>
      <w:bookmarkEnd w:id="373"/>
    </w:p>
    <w:p w14:paraId="0CA592F1">
      <w:pPr>
        <w:widowControl w:val="0"/>
        <w:adjustRightInd w:val="0"/>
        <w:snapToGrid w:val="0"/>
        <w:spacing w:line="560" w:lineRule="exact"/>
        <w:ind w:firstLine="632" w:firstLineChars="200"/>
        <w:jc w:val="both"/>
        <w:rPr>
          <w:rFonts w:ascii="Times New Roman" w:hAnsi="Times New Roman" w:eastAsia="仿宋_GB2312"/>
          <w:spacing w:val="-2"/>
          <w:sz w:val="32"/>
          <w:szCs w:val="32"/>
        </w:rPr>
      </w:pPr>
      <w:r>
        <w:rPr>
          <w:rFonts w:hint="eastAsia" w:ascii="Times New Roman" w:hAnsi="Times New Roman" w:eastAsia="仿宋_GB2312"/>
          <w:spacing w:val="-2"/>
          <w:sz w:val="32"/>
          <w:szCs w:val="32"/>
        </w:rPr>
        <w:t>积极融入国内大循环为主体、国内国际双循环相互促进的新格局。探索“飞地经济”“抱团发展”“共建平台”等经济模式在金台发展的可能性，统筹“走出去”和“引进来”，推动石油装备制造等核心产品、技术、专业人才走出去；引进京津冀、长三角、粤港澳大湾区、成渝城市群、西安开发区等技术资金。与省自贸区积极对接，研究探索陕西自贸区各项开放创新政策在金台区的合理运用，使蟠龙高新区等区域成为陕西自贸区政策的扩展区。</w:t>
      </w:r>
    </w:p>
    <w:p w14:paraId="1B25A7F4">
      <w:pPr>
        <w:pStyle w:val="5"/>
        <w:keepNext w:val="0"/>
        <w:keepLines w:val="0"/>
        <w:numPr>
          <w:ilvl w:val="0"/>
          <w:numId w:val="42"/>
        </w:numPr>
        <w:adjustRightInd w:val="0"/>
        <w:snapToGrid w:val="0"/>
        <w:spacing w:before="0" w:after="0" w:line="600" w:lineRule="exact"/>
        <w:ind w:firstLine="641"/>
        <w:rPr>
          <w:rFonts w:eastAsia="楷体"/>
        </w:rPr>
      </w:pPr>
      <w:bookmarkStart w:id="374" w:name="_Toc42610339"/>
      <w:r>
        <w:rPr>
          <w:rFonts w:hint="eastAsia" w:eastAsia="楷体"/>
        </w:rPr>
        <w:t>系统搭建</w:t>
      </w:r>
      <w:r>
        <w:rPr>
          <w:rFonts w:eastAsia="楷体"/>
        </w:rPr>
        <w:t>“</w:t>
      </w:r>
      <w:r>
        <w:rPr>
          <w:rFonts w:hint="eastAsia" w:eastAsia="楷体"/>
        </w:rPr>
        <w:t>走出去</w:t>
      </w:r>
      <w:r>
        <w:rPr>
          <w:rFonts w:eastAsia="楷体"/>
        </w:rPr>
        <w:t>”</w:t>
      </w:r>
      <w:r>
        <w:rPr>
          <w:rFonts w:hint="eastAsia" w:eastAsia="楷体"/>
        </w:rPr>
        <w:t>平台</w:t>
      </w:r>
      <w:bookmarkEnd w:id="374"/>
    </w:p>
    <w:p w14:paraId="0D0E2950">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鼓励龙头企业走出去，富裕产能转出去、技术标准带出去，使金台在国际产业分工体系中占据一定位置。积极举办中国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国际工业品</w:t>
      </w:r>
      <w:r>
        <w:rPr>
          <w:rFonts w:ascii="Times New Roman" w:hAnsi="Times New Roman" w:eastAsia="仿宋_GB2312"/>
          <w:sz w:val="32"/>
          <w:szCs w:val="32"/>
        </w:rPr>
        <w:t>(</w:t>
      </w:r>
      <w:r>
        <w:rPr>
          <w:rFonts w:hint="eastAsia" w:ascii="Times New Roman" w:hAnsi="Times New Roman" w:eastAsia="仿宋_GB2312"/>
          <w:sz w:val="32"/>
          <w:szCs w:val="32"/>
        </w:rPr>
        <w:t>石油装备</w:t>
      </w:r>
      <w:r>
        <w:rPr>
          <w:rFonts w:ascii="Times New Roman" w:hAnsi="Times New Roman" w:eastAsia="仿宋_GB2312"/>
          <w:sz w:val="32"/>
          <w:szCs w:val="32"/>
        </w:rPr>
        <w:t>)</w:t>
      </w:r>
      <w:r>
        <w:rPr>
          <w:rFonts w:hint="eastAsia" w:ascii="Times New Roman" w:hAnsi="Times New Roman" w:eastAsia="仿宋_GB2312"/>
          <w:sz w:val="32"/>
          <w:szCs w:val="32"/>
        </w:rPr>
        <w:t>跨国采购展览会、中国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周秦文化国际文化周、中国</w:t>
      </w:r>
      <w:r>
        <w:rPr>
          <w:rFonts w:ascii="Times New Roman" w:hAnsi="Times New Roman" w:eastAsia="仿宋_GB2312"/>
          <w:sz w:val="32"/>
          <w:szCs w:val="32"/>
        </w:rPr>
        <w:t>(</w:t>
      </w:r>
      <w:r>
        <w:rPr>
          <w:rFonts w:hint="eastAsia" w:ascii="Times New Roman" w:hAnsi="Times New Roman" w:eastAsia="仿宋_GB2312"/>
          <w:sz w:val="32"/>
          <w:szCs w:val="32"/>
        </w:rPr>
        <w:t>宝鸡</w:t>
      </w:r>
      <w:r>
        <w:rPr>
          <w:rFonts w:ascii="Times New Roman" w:hAnsi="Times New Roman" w:eastAsia="仿宋_GB2312"/>
          <w:sz w:val="32"/>
          <w:szCs w:val="32"/>
        </w:rPr>
        <w:t>)</w:t>
      </w:r>
      <w:r>
        <w:rPr>
          <w:rFonts w:hint="eastAsia" w:ascii="Times New Roman" w:hAnsi="Times New Roman" w:eastAsia="仿宋_GB2312"/>
          <w:sz w:val="32"/>
          <w:szCs w:val="32"/>
        </w:rPr>
        <w:t>文化旅游节等国际交流活动，打造具有广泛影响力的活动平台。建设工业科技大数据平台、工业制造服务平台、“一带一路”综合会议中心、文化产权交易所等平台载体，加快推动金台区企业、品牌、资源“走出去”。建立完善政府与企业、政府与商会协会、企业与功能区、功能区与经济组织等各个层面的合作机制，建立优势互补、联动发展机制，加强企业“走出去”服务保障。</w:t>
      </w:r>
    </w:p>
    <w:p w14:paraId="221B2479">
      <w:pPr>
        <w:pStyle w:val="8"/>
      </w:pPr>
    </w:p>
    <w:p w14:paraId="7A810008">
      <w:pPr>
        <w:pStyle w:val="8"/>
      </w:pPr>
    </w:p>
    <w:p w14:paraId="35AE7F82">
      <w:pPr>
        <w:pStyle w:val="5"/>
        <w:keepNext w:val="0"/>
        <w:keepLines w:val="0"/>
        <w:numPr>
          <w:ilvl w:val="0"/>
          <w:numId w:val="42"/>
        </w:numPr>
        <w:adjustRightInd w:val="0"/>
        <w:snapToGrid w:val="0"/>
        <w:spacing w:before="0" w:after="0" w:line="600" w:lineRule="exact"/>
        <w:ind w:firstLine="641"/>
        <w:rPr>
          <w:rFonts w:eastAsia="楷体"/>
        </w:rPr>
      </w:pPr>
      <w:bookmarkStart w:id="375" w:name="_Toc42610340"/>
      <w:r>
        <w:rPr>
          <w:rFonts w:hint="eastAsia" w:eastAsia="楷体"/>
        </w:rPr>
        <w:t>着力提升</w:t>
      </w:r>
      <w:r>
        <w:rPr>
          <w:rFonts w:eastAsia="楷体"/>
        </w:rPr>
        <w:t>“</w:t>
      </w:r>
      <w:r>
        <w:rPr>
          <w:rFonts w:hint="eastAsia" w:eastAsia="楷体"/>
        </w:rPr>
        <w:t>引进来</w:t>
      </w:r>
      <w:r>
        <w:rPr>
          <w:rFonts w:eastAsia="楷体"/>
        </w:rPr>
        <w:t>”</w:t>
      </w:r>
      <w:r>
        <w:rPr>
          <w:rFonts w:hint="eastAsia" w:eastAsia="楷体"/>
        </w:rPr>
        <w:t>水平</w:t>
      </w:r>
      <w:bookmarkEnd w:id="375"/>
    </w:p>
    <w:p w14:paraId="1101E500">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围绕主导产业和战略性新兴产业发展，全力招大引强、招才引智。大力引进国内外高端生产要素，吸引知名企业总部、销售、研发中心入驻金台区，切实加大税源企业的引进力度，做好五大总部经济集聚区的建设。加强商务楼宇二次招商，建立“业主</w:t>
      </w:r>
      <w:r>
        <w:rPr>
          <w:rFonts w:ascii="Times New Roman" w:hAnsi="Times New Roman" w:eastAsia="仿宋_GB2312"/>
          <w:sz w:val="32"/>
          <w:szCs w:val="32"/>
        </w:rPr>
        <w:t>—</w:t>
      </w:r>
      <w:r>
        <w:rPr>
          <w:rFonts w:hint="eastAsia" w:ascii="Times New Roman" w:hAnsi="Times New Roman" w:eastAsia="仿宋_GB2312"/>
          <w:sz w:val="32"/>
          <w:szCs w:val="32"/>
        </w:rPr>
        <w:t>功能区”共同招商机制，完善楼宇经济专项促进政策，进一步做好鹏博财富中心、国金中心、盛世广场、投资大厦、广汇大厦等重点楼宇的包装和推介工作，招引一批辐射力、影响力、带动力强的大项目、好项目。积极参与省市重大招商项目洽谈促进工作，完善联合招商平台网络，巩固以商招商优势，做好零距离、点对点招商。</w:t>
      </w:r>
    </w:p>
    <w:p w14:paraId="6E72196C">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76" w:name="_Toc42610341"/>
      <w:bookmarkStart w:id="377" w:name="_Toc50988098"/>
      <w:bookmarkStart w:id="378" w:name="_Toc50710134"/>
      <w:bookmarkStart w:id="379" w:name="_Toc53863329"/>
      <w:bookmarkStart w:id="380" w:name="_Toc66443014"/>
      <w:bookmarkStart w:id="381" w:name="_Toc49276086"/>
      <w:bookmarkStart w:id="382" w:name="_Toc50988350"/>
      <w:r>
        <w:rPr>
          <w:rFonts w:hint="eastAsia" w:ascii="Times New Roman" w:hAnsi="Times New Roman" w:cs="宋体"/>
          <w:bCs w:val="0"/>
          <w:sz w:val="32"/>
          <w:szCs w:val="24"/>
        </w:rPr>
        <w:t>第四节 创新对外开放机制</w:t>
      </w:r>
      <w:bookmarkEnd w:id="376"/>
      <w:bookmarkEnd w:id="377"/>
      <w:bookmarkEnd w:id="378"/>
      <w:bookmarkEnd w:id="379"/>
      <w:bookmarkEnd w:id="380"/>
      <w:bookmarkEnd w:id="381"/>
      <w:bookmarkEnd w:id="382"/>
    </w:p>
    <w:p w14:paraId="548753E8">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3" w:name="_Toc42610342"/>
      <w:r>
        <w:rPr>
          <w:rFonts w:hint="eastAsia" w:eastAsia="楷体"/>
        </w:rPr>
        <w:t>健全对外开放管理体制</w:t>
      </w:r>
      <w:bookmarkEnd w:id="383"/>
    </w:p>
    <w:p w14:paraId="747FBFFA">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完善外商投资市场准入制度，全面实施准入前国民待遇加负面清单管理制度，探索有序扩大服务业对外开放。完善境外投资管理，加强对“走出去”企业和项目的统筹谋划和指导。配合全市加快境外投资合作信息平台建设，建立健全对外投资合作应急处置机制。</w:t>
      </w:r>
    </w:p>
    <w:p w14:paraId="3DCB068B">
      <w:pPr>
        <w:pStyle w:val="5"/>
        <w:keepNext w:val="0"/>
        <w:keepLines w:val="0"/>
        <w:numPr>
          <w:ilvl w:val="0"/>
          <w:numId w:val="43"/>
        </w:numPr>
        <w:adjustRightInd w:val="0"/>
        <w:snapToGrid w:val="0"/>
        <w:spacing w:before="0" w:after="0" w:line="600" w:lineRule="exact"/>
        <w:ind w:left="0" w:firstLine="643" w:firstLineChars="200"/>
        <w:rPr>
          <w:rFonts w:eastAsia="楷体"/>
        </w:rPr>
      </w:pPr>
      <w:bookmarkStart w:id="384" w:name="_Toc42610343"/>
      <w:r>
        <w:rPr>
          <w:rFonts w:hint="eastAsia" w:eastAsia="楷体"/>
        </w:rPr>
        <w:t>完善对外开放合作机制</w:t>
      </w:r>
      <w:bookmarkEnd w:id="384"/>
    </w:p>
    <w:p w14:paraId="73F3C016">
      <w:pPr>
        <w:widowControl w:val="0"/>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优化招商选资机制，构建由政府投资促进部门、专业投资促进机构、中介服务机构和项目单位各司其职又相互协调配合的现代投资促进体系。改革创新招商模式，深化与第三方机构的合作，瞄准高端产业，健全龙头企业招商、园区招商、产业链招商、以商招商、主题招商等激励机制。围绕主导产业发展，做好招商营商环境的前期工作。用好投融资国际合作机制，推动金融资本和产业资本联合</w:t>
      </w:r>
      <w:r>
        <w:rPr>
          <w:rFonts w:hint="eastAsia" w:ascii="Times New Roman" w:hAnsi="Times New Roman" w:eastAsia="仿宋_GB2312"/>
          <w:sz w:val="32"/>
          <w:szCs w:val="32"/>
          <w:lang w:eastAsia="zh-CN"/>
        </w:rPr>
        <w:t>“引进来”和“走出去”</w:t>
      </w:r>
      <w:r>
        <w:rPr>
          <w:rFonts w:hint="eastAsia" w:ascii="Times New Roman" w:hAnsi="Times New Roman" w:eastAsia="仿宋_GB2312"/>
          <w:sz w:val="32"/>
          <w:szCs w:val="32"/>
        </w:rPr>
        <w:t>。</w:t>
      </w:r>
    </w:p>
    <w:p w14:paraId="6284B66B">
      <w:pPr>
        <w:rPr>
          <w:rFonts w:ascii="Times New Roman" w:hAnsi="Times New Roman"/>
        </w:rPr>
      </w:pPr>
    </w:p>
    <w:p w14:paraId="460201C6">
      <w:pPr>
        <w:pStyle w:val="3"/>
        <w:keepNext w:val="0"/>
        <w:keepLines w:val="0"/>
        <w:numPr>
          <w:ilvl w:val="0"/>
          <w:numId w:val="44"/>
        </w:numPr>
        <w:adjustRightInd w:val="0"/>
        <w:snapToGrid w:val="0"/>
        <w:spacing w:before="120" w:beforeLines="50" w:after="120" w:afterLines="50" w:line="360" w:lineRule="auto"/>
        <w:ind w:left="1276" w:hanging="1276"/>
        <w:jc w:val="center"/>
        <w:rPr>
          <w:rFonts w:eastAsia="黑体"/>
          <w:b w:val="0"/>
          <w:sz w:val="32"/>
          <w:szCs w:val="32"/>
        </w:rPr>
        <w:sectPr>
          <w:pgSz w:w="11907" w:h="16840"/>
          <w:pgMar w:top="1440" w:right="1474" w:bottom="1440" w:left="1588" w:header="851" w:footer="992" w:gutter="0"/>
          <w:cols w:space="425" w:num="1"/>
          <w:docGrid w:linePitch="312" w:charSpace="0"/>
        </w:sectPr>
      </w:pPr>
      <w:bookmarkStart w:id="385" w:name="_Toc41855039"/>
      <w:bookmarkStart w:id="386" w:name="_Toc42100179"/>
      <w:bookmarkStart w:id="387" w:name="_Toc42610459"/>
    </w:p>
    <w:p w14:paraId="315DA86C">
      <w:pPr>
        <w:pStyle w:val="3"/>
        <w:keepNext w:val="0"/>
        <w:keepLines w:val="0"/>
        <w:widowControl w:val="0"/>
        <w:numPr>
          <w:ilvl w:val="0"/>
          <w:numId w:val="1"/>
        </w:numPr>
        <w:adjustRightInd w:val="0"/>
        <w:snapToGrid w:val="0"/>
        <w:spacing w:before="120" w:beforeLines="50" w:after="240" w:afterLines="100" w:line="600" w:lineRule="exact"/>
        <w:ind w:left="0" w:firstLine="0"/>
        <w:jc w:val="center"/>
        <w:rPr>
          <w:rFonts w:eastAsia="方正小标宋简体"/>
          <w:b w:val="0"/>
          <w:iCs/>
          <w:kern w:val="2"/>
          <w:sz w:val="36"/>
          <w:szCs w:val="36"/>
        </w:rPr>
      </w:pPr>
      <w:bookmarkStart w:id="388" w:name="_Toc50988099"/>
      <w:bookmarkStart w:id="389" w:name="_Toc50710135"/>
      <w:bookmarkStart w:id="390" w:name="_Toc49276087"/>
      <w:bookmarkStart w:id="391" w:name="_Toc50988351"/>
      <w:bookmarkStart w:id="392" w:name="_Toc53863330"/>
      <w:bookmarkStart w:id="393" w:name="_Toc66443015"/>
      <w:r>
        <w:rPr>
          <w:rFonts w:hint="eastAsia" w:eastAsia="方正小标宋简体"/>
          <w:b w:val="0"/>
          <w:iCs/>
          <w:kern w:val="2"/>
          <w:sz w:val="36"/>
          <w:szCs w:val="36"/>
        </w:rPr>
        <w:t>保障措施</w:t>
      </w:r>
      <w:bookmarkEnd w:id="385"/>
      <w:bookmarkEnd w:id="386"/>
      <w:bookmarkEnd w:id="387"/>
      <w:bookmarkEnd w:id="388"/>
      <w:bookmarkEnd w:id="389"/>
      <w:bookmarkEnd w:id="390"/>
      <w:bookmarkEnd w:id="391"/>
      <w:bookmarkEnd w:id="392"/>
      <w:bookmarkEnd w:id="393"/>
    </w:p>
    <w:p w14:paraId="70C6B25F">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4" w:name="_Toc66443016"/>
      <w:r>
        <w:rPr>
          <w:rFonts w:hint="eastAsia" w:ascii="Times New Roman" w:hAnsi="Times New Roman" w:cs="宋体"/>
          <w:bCs w:val="0"/>
          <w:sz w:val="32"/>
          <w:szCs w:val="24"/>
        </w:rPr>
        <w:t>第一节 坚持和加强党的全面领导</w:t>
      </w:r>
      <w:bookmarkEnd w:id="394"/>
    </w:p>
    <w:p w14:paraId="2E6CCABB">
      <w:pPr>
        <w:adjustRightInd w:val="0"/>
        <w:snapToGrid w:val="0"/>
        <w:spacing w:line="560" w:lineRule="exact"/>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贯彻落实党把方向、谋大局、定政策、促改革的要求，坚持不懈用习近平新时代中国特色社会主义思想武装头脑、指导实践、推动工作，认真学习贯彻习近平总书记来陕考察重要讲话精神，深化对经济社会发展规律的认识，</w:t>
      </w:r>
      <w:r>
        <w:rPr>
          <w:rFonts w:hint="eastAsia" w:ascii="Times New Roman" w:hAnsi="Times New Roman" w:eastAsia="仿宋_GB2312"/>
          <w:sz w:val="32"/>
          <w:szCs w:val="32"/>
          <w:lang w:eastAsia="zh-CN"/>
        </w:rPr>
        <w:t>增强“四个意识”、坚定“四个自信”、做到“两个维护”</w:t>
      </w:r>
      <w:r>
        <w:rPr>
          <w:rFonts w:hint="eastAsia" w:ascii="Times New Roman" w:hAnsi="Times New Roman" w:eastAsia="仿宋_GB2312"/>
          <w:sz w:val="32"/>
          <w:szCs w:val="32"/>
        </w:rPr>
        <w:t>，进一步提高贯彻新发展理念、推</w:t>
      </w:r>
      <w:r>
        <w:rPr>
          <w:rFonts w:ascii="Times New Roman" w:hAnsi="Times New Roman" w:eastAsia="仿宋_GB2312"/>
          <w:sz w:val="32"/>
          <w:szCs w:val="32"/>
        </w:rPr>
        <w:t>动高质量发展、构建新发展格局的能力和水平。落实全面从严治党主体责任、监督责任，保持严的主基调，提高党的建设质量。全面落实新时代党的组织路线，坚持好干部标准，优化各级领导班子的知识结构、专业结构和政治素养。强化基层党组织整体功能，把党的领导落实到“十四五”经济社会发展全过程、各领域。完善政绩考核评价和奖惩机制，完善监督体系，加强政治监督，坚决惩处各类腐败行为，激励广大干部开拓进取、攻坚克难，</w:t>
      </w:r>
      <w:r>
        <w:rPr>
          <w:rFonts w:hint="eastAsia" w:ascii="Times New Roman" w:hAnsi="Times New Roman" w:eastAsia="仿宋_GB2312"/>
          <w:sz w:val="32"/>
          <w:szCs w:val="32"/>
        </w:rPr>
        <w:t>更好地带领全区群众共同建设幸福美好新金台</w:t>
      </w:r>
      <w:r>
        <w:rPr>
          <w:rFonts w:ascii="Times New Roman" w:hAnsi="Times New Roman" w:eastAsia="仿宋_GB2312"/>
          <w:sz w:val="32"/>
          <w:szCs w:val="32"/>
        </w:rPr>
        <w:t>。</w:t>
      </w:r>
    </w:p>
    <w:p w14:paraId="1D8E6494">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395" w:name="_Toc41855040"/>
      <w:bookmarkStart w:id="396" w:name="_Toc42100180"/>
      <w:bookmarkStart w:id="397" w:name="_Toc42610460"/>
      <w:bookmarkStart w:id="398" w:name="_Toc50988100"/>
      <w:bookmarkStart w:id="399" w:name="_Toc49276088"/>
      <w:bookmarkStart w:id="400" w:name="_Toc53863331"/>
      <w:bookmarkStart w:id="401" w:name="_Toc50988352"/>
      <w:bookmarkStart w:id="402" w:name="_Toc50710136"/>
      <w:bookmarkStart w:id="403" w:name="_Toc66443017"/>
      <w:r>
        <w:rPr>
          <w:rFonts w:hint="eastAsia" w:ascii="Times New Roman" w:hAnsi="Times New Roman" w:cs="宋体"/>
          <w:bCs w:val="0"/>
          <w:sz w:val="32"/>
          <w:szCs w:val="24"/>
        </w:rPr>
        <w:t>第二节</w:t>
      </w:r>
      <w:bookmarkEnd w:id="395"/>
      <w:bookmarkEnd w:id="396"/>
      <w:bookmarkEnd w:id="397"/>
      <w:r>
        <w:rPr>
          <w:rFonts w:ascii="Times New Roman" w:hAnsi="Times New Roman" w:cs="宋体"/>
          <w:bCs w:val="0"/>
          <w:sz w:val="32"/>
          <w:szCs w:val="24"/>
        </w:rPr>
        <w:t xml:space="preserve"> </w:t>
      </w:r>
      <w:r>
        <w:rPr>
          <w:rFonts w:hint="eastAsia" w:ascii="Times New Roman" w:hAnsi="Times New Roman" w:cs="宋体"/>
          <w:bCs w:val="0"/>
          <w:sz w:val="32"/>
          <w:szCs w:val="24"/>
        </w:rPr>
        <w:t>加强规划实施</w:t>
      </w:r>
      <w:bookmarkEnd w:id="398"/>
      <w:bookmarkEnd w:id="399"/>
      <w:bookmarkEnd w:id="400"/>
      <w:bookmarkEnd w:id="401"/>
      <w:bookmarkEnd w:id="402"/>
      <w:r>
        <w:rPr>
          <w:rFonts w:hint="eastAsia" w:ascii="Times New Roman" w:hAnsi="Times New Roman" w:cs="宋体"/>
          <w:bCs w:val="0"/>
          <w:sz w:val="32"/>
          <w:szCs w:val="24"/>
        </w:rPr>
        <w:t>组织协调</w:t>
      </w:r>
      <w:bookmarkEnd w:id="403"/>
    </w:p>
    <w:p w14:paraId="51343843">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成立规划实施领导小组。</w:t>
      </w:r>
      <w:r>
        <w:rPr>
          <w:rFonts w:hint="eastAsia" w:ascii="Times New Roman" w:hAnsi="Times New Roman" w:eastAsia="仿宋_GB2312" w:cs="仿宋_GB2312"/>
          <w:sz w:val="32"/>
          <w:szCs w:val="32"/>
        </w:rPr>
        <w:t>成立由区委、区政府主要领导任组长，各分管领导为副组长，相关部门、镇街主要领导为成员的领导小组，明确各领域发展目标、重点任务和政策措施，协调解决规划实施中出现的问题和困难，确保规划纲要目标的实现。</w:t>
      </w:r>
    </w:p>
    <w:p w14:paraId="2613D45A">
      <w:pPr>
        <w:adjustRightInd w:val="0"/>
        <w:snapToGrid w:val="0"/>
        <w:spacing w:line="560" w:lineRule="exact"/>
        <w:ind w:firstLine="643" w:firstLineChars="200"/>
        <w:jc w:val="both"/>
        <w:rPr>
          <w:rFonts w:ascii="Times New Roman" w:hAnsi="Times New Roman" w:eastAsia="仿宋_GB2312" w:cs="仿宋_GB2312"/>
          <w:spacing w:val="-4"/>
          <w:sz w:val="32"/>
          <w:szCs w:val="32"/>
        </w:rPr>
      </w:pPr>
      <w:r>
        <w:rPr>
          <w:rFonts w:hint="eastAsia" w:ascii="Times New Roman" w:hAnsi="Times New Roman" w:eastAsia="仿宋_GB2312" w:cs="仿宋_GB2312"/>
          <w:b/>
          <w:sz w:val="32"/>
          <w:szCs w:val="32"/>
        </w:rPr>
        <w:t>合力推进规划实施。</w:t>
      </w:r>
      <w:r>
        <w:rPr>
          <w:rFonts w:hint="eastAsia" w:ascii="Times New Roman" w:hAnsi="Times New Roman" w:eastAsia="仿宋_GB2312" w:cs="仿宋_GB2312"/>
          <w:sz w:val="32"/>
          <w:szCs w:val="32"/>
        </w:rPr>
        <w:t>全面提升各级党政组织和干部队伍的创造力、凝聚力和战斗力，形成规划共同推进的强大力量，高点定位，周密部署，以钉钉子精神抓好规划纲要和各专项规划的实施，同时认真做好规划中期评估，全面分析检查规划实施效果与各项政策措施落实情况</w:t>
      </w:r>
      <w:r>
        <w:rPr>
          <w:rFonts w:hint="eastAsia" w:ascii="Times New Roman" w:hAnsi="Times New Roman" w:eastAsia="仿宋_GB2312" w:cs="仿宋_GB2312"/>
          <w:spacing w:val="-4"/>
          <w:sz w:val="32"/>
          <w:szCs w:val="32"/>
        </w:rPr>
        <w:t>。</w:t>
      </w:r>
    </w:p>
    <w:p w14:paraId="1AB351EC">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加大规划宣传力度。</w:t>
      </w:r>
      <w:r>
        <w:rPr>
          <w:rFonts w:hint="eastAsia" w:ascii="Times New Roman" w:hAnsi="Times New Roman" w:eastAsia="仿宋_GB2312" w:cs="仿宋_GB2312"/>
          <w:sz w:val="32"/>
          <w:szCs w:val="32"/>
        </w:rPr>
        <w:t>通过多种方式广泛宣传</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十四五</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规划的重大意义、指导思想和重大任务等主要内容，营造社会各界认知规划、监督规划实施的氛围；对规划实施过程中涉及人民群众切身利益的事项，采取公示和听证制度，切实听取各界人士的意见和建议；健全规范化的规划决策咨询机制，引导社会各方面力量发挥能动性和创造力，努力实现规划目标。</w:t>
      </w:r>
    </w:p>
    <w:p w14:paraId="243B0FB1">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04" w:name="_Toc50710138"/>
      <w:bookmarkStart w:id="405" w:name="_Toc50988102"/>
      <w:bookmarkStart w:id="406" w:name="_Toc50988354"/>
      <w:bookmarkStart w:id="407" w:name="_Toc49276090"/>
      <w:bookmarkStart w:id="408" w:name="_Toc53863333"/>
      <w:bookmarkStart w:id="409" w:name="_Toc66443018"/>
      <w:r>
        <w:rPr>
          <w:rFonts w:hint="eastAsia" w:ascii="Times New Roman" w:hAnsi="Times New Roman" w:cs="宋体"/>
          <w:bCs w:val="0"/>
          <w:sz w:val="32"/>
          <w:szCs w:val="24"/>
        </w:rPr>
        <w:t>第三节</w:t>
      </w:r>
      <w:bookmarkStart w:id="410" w:name="_Toc42610462"/>
      <w:bookmarkStart w:id="411" w:name="_Toc41855043"/>
      <w:bookmarkStart w:id="412" w:name="_Toc42100182"/>
      <w:r>
        <w:rPr>
          <w:rFonts w:ascii="Times New Roman" w:hAnsi="Times New Roman" w:cs="宋体"/>
          <w:bCs w:val="0"/>
          <w:sz w:val="32"/>
          <w:szCs w:val="24"/>
        </w:rPr>
        <w:t xml:space="preserve"> </w:t>
      </w:r>
      <w:r>
        <w:rPr>
          <w:rFonts w:hint="eastAsia" w:ascii="Times New Roman" w:hAnsi="Times New Roman" w:cs="宋体"/>
          <w:bCs w:val="0"/>
          <w:sz w:val="32"/>
          <w:szCs w:val="24"/>
        </w:rPr>
        <w:t>做实项目支撑</w:t>
      </w:r>
      <w:bookmarkEnd w:id="404"/>
      <w:bookmarkEnd w:id="405"/>
      <w:bookmarkEnd w:id="406"/>
      <w:bookmarkEnd w:id="407"/>
      <w:bookmarkEnd w:id="408"/>
      <w:bookmarkEnd w:id="409"/>
      <w:bookmarkEnd w:id="410"/>
      <w:bookmarkEnd w:id="411"/>
      <w:bookmarkEnd w:id="412"/>
    </w:p>
    <w:p w14:paraId="6681D459">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落实项目工作机制。</w:t>
      </w:r>
      <w:r>
        <w:rPr>
          <w:rFonts w:hint="eastAsia" w:ascii="Times New Roman" w:hAnsi="Times New Roman" w:eastAsia="仿宋_GB2312" w:cs="仿宋_GB2312"/>
          <w:sz w:val="32"/>
          <w:szCs w:val="32"/>
        </w:rPr>
        <w:t>坚持以项目比高下、以项目论英雄的工作导向，</w:t>
      </w:r>
      <w:r>
        <w:rPr>
          <w:rFonts w:hint="eastAsia" w:ascii="Times New Roman" w:hAnsi="Times New Roman" w:eastAsia="仿宋_GB2312" w:cs="仿宋_GB2312"/>
          <w:bCs/>
          <w:sz w:val="32"/>
          <w:szCs w:val="32"/>
        </w:rPr>
        <w:t>严格执行</w:t>
      </w:r>
      <w:r>
        <w:rPr>
          <w:rFonts w:hint="eastAsia" w:ascii="Times New Roman" w:hAnsi="Times New Roman" w:eastAsia="仿宋_GB2312" w:cs="仿宋_GB2312"/>
          <w:sz w:val="32"/>
          <w:szCs w:val="32"/>
        </w:rPr>
        <w:t>一名区级领导挂帅、一名部门领导负责、一套专门班子落实、一个具体方案实施、一套工作机制保障“五个一”项目包抓机制，切实抓好联系重点项目的跟踪督导和责任落实，及时协调解决项目建设中的困难和问题，推动项目加快实施。严格落实项目法人制、监理制、招投标制、合同制要求，建立跟踪督查机制，采取督办和通报等方式，助推项目顺利实施。</w:t>
      </w:r>
    </w:p>
    <w:p w14:paraId="2AE99D69">
      <w:pPr>
        <w:adjustRightInd w:val="0"/>
        <w:snapToGrid w:val="0"/>
        <w:spacing w:line="560" w:lineRule="exact"/>
        <w:ind w:firstLine="643" w:firstLineChars="200"/>
        <w:jc w:val="both"/>
        <w:rPr>
          <w:rFonts w:ascii="仿宋_GB2312" w:hAnsi="仿宋_GB2312" w:eastAsia="仿宋_GB2312" w:cs="仿宋_GB2312"/>
          <w:sz w:val="32"/>
          <w:szCs w:val="32"/>
        </w:rPr>
      </w:pPr>
      <w:r>
        <w:rPr>
          <w:rFonts w:hint="eastAsia" w:ascii="Times New Roman" w:hAnsi="Times New Roman" w:eastAsia="仿宋_GB2312" w:cs="仿宋_GB2312"/>
          <w:b/>
          <w:sz w:val="32"/>
          <w:szCs w:val="32"/>
        </w:rPr>
        <w:t>增强重点项目支撑。</w:t>
      </w:r>
      <w:r>
        <w:rPr>
          <w:rFonts w:hint="eastAsia" w:ascii="仿宋_GB2312" w:hAnsi="仿宋_GB2312" w:eastAsia="仿宋_GB2312" w:cs="仿宋_GB2312"/>
          <w:sz w:val="32"/>
          <w:szCs w:val="32"/>
        </w:rPr>
        <w:t>将重大工程和重大项目建设作为规划实施的工作载体和重要支撑，“十四五”时期，共实施重大项目</w:t>
      </w:r>
      <w:r>
        <w:rPr>
          <w:rFonts w:ascii="仿宋_GB2312" w:hAnsi="仿宋_GB2312" w:eastAsia="仿宋_GB2312" w:cs="仿宋_GB2312"/>
          <w:sz w:val="32"/>
          <w:szCs w:val="32"/>
        </w:rPr>
        <w:t>349</w:t>
      </w:r>
      <w:r>
        <w:rPr>
          <w:rFonts w:hint="eastAsia" w:ascii="仿宋_GB2312" w:hAnsi="仿宋_GB2312" w:eastAsia="仿宋_GB2312" w:cs="仿宋_GB2312"/>
          <w:sz w:val="32"/>
          <w:szCs w:val="32"/>
        </w:rPr>
        <w:t>个，涉及创新驱动、制造业高质量发展、传统产业改造升级、现代服务业等</w:t>
      </w:r>
      <w:r>
        <w:rPr>
          <w:rFonts w:hint="eastAsia" w:ascii="仿宋_GB2312" w:hAnsi="仿宋_GB2312" w:eastAsia="仿宋_GB2312" w:cs="仿宋_GB2312"/>
          <w:sz w:val="32"/>
          <w:szCs w:val="32"/>
          <w:lang w:eastAsia="zh-CN"/>
        </w:rPr>
        <w:t>十大</w:t>
      </w:r>
      <w:r>
        <w:rPr>
          <w:rFonts w:hint="eastAsia" w:ascii="仿宋_GB2312" w:hAnsi="仿宋_GB2312" w:eastAsia="仿宋_GB2312" w:cs="仿宋_GB2312"/>
          <w:sz w:val="32"/>
          <w:szCs w:val="32"/>
        </w:rPr>
        <w:t>领域，总投资约</w:t>
      </w:r>
      <w:r>
        <w:rPr>
          <w:rFonts w:ascii="仿宋_GB2312" w:hAnsi="仿宋_GB2312" w:eastAsia="仿宋_GB2312" w:cs="仿宋_GB2312"/>
          <w:sz w:val="32"/>
          <w:szCs w:val="32"/>
        </w:rPr>
        <w:t>1914</w:t>
      </w:r>
      <w:r>
        <w:rPr>
          <w:rFonts w:hint="eastAsia" w:ascii="仿宋_GB2312" w:hAnsi="仿宋_GB2312" w:eastAsia="仿宋_GB2312" w:cs="仿宋_GB2312"/>
          <w:sz w:val="32"/>
          <w:szCs w:val="32"/>
        </w:rPr>
        <w:t>亿元，“十四五”期间计划投资约</w:t>
      </w:r>
      <w:r>
        <w:rPr>
          <w:rFonts w:ascii="仿宋_GB2312" w:hAnsi="仿宋_GB2312" w:eastAsia="仿宋_GB2312" w:cs="仿宋_GB2312"/>
          <w:sz w:val="32"/>
          <w:szCs w:val="32"/>
        </w:rPr>
        <w:t>1755</w:t>
      </w:r>
      <w:r>
        <w:rPr>
          <w:rFonts w:hint="eastAsia" w:ascii="仿宋_GB2312" w:hAnsi="仿宋_GB2312" w:eastAsia="仿宋_GB2312" w:cs="仿宋_GB2312"/>
          <w:sz w:val="32"/>
          <w:szCs w:val="32"/>
        </w:rPr>
        <w:t>亿元。</w:t>
      </w:r>
    </w:p>
    <w:p w14:paraId="65FB8593">
      <w:pPr>
        <w:adjustRightInd w:val="0"/>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cs="仿宋_GB2312"/>
          <w:b/>
          <w:sz w:val="32"/>
          <w:szCs w:val="32"/>
        </w:rPr>
        <w:t>强力推进要素保障。</w:t>
      </w:r>
      <w:r>
        <w:rPr>
          <w:rFonts w:hint="eastAsia" w:ascii="Times New Roman" w:hAnsi="Times New Roman" w:eastAsia="仿宋_GB2312"/>
          <w:sz w:val="32"/>
          <w:szCs w:val="32"/>
        </w:rPr>
        <w:t>坚持资金、土地等要素跟着项目走，</w:t>
      </w:r>
      <w:r>
        <w:rPr>
          <w:rFonts w:hint="eastAsia" w:ascii="Times New Roman" w:hAnsi="Times New Roman" w:eastAsia="仿宋_GB2312" w:cs="仿宋_GB2312"/>
          <w:sz w:val="32"/>
          <w:szCs w:val="32"/>
        </w:rPr>
        <w:t>创新金融服务形式和业态，充分用好国家稳投资政策，争取各类专项资金，用活新旧动能转换基金，充实项目资本金。合理调整用地结构，优化营商环境，对审批流程再造、信息整合等关键环节加大改进，提升审批效能。落实好“负面清单”管理制度</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lang w:eastAsia="zh-CN"/>
        </w:rPr>
        <w:t>构建亲清政商关系</w:t>
      </w:r>
      <w:r>
        <w:rPr>
          <w:rFonts w:hint="eastAsia" w:ascii="Times New Roman" w:hAnsi="Times New Roman" w:eastAsia="仿宋_GB2312" w:cs="仿宋_GB2312"/>
          <w:sz w:val="32"/>
          <w:szCs w:val="32"/>
        </w:rPr>
        <w:t>，为项目建设提供优良的环境。</w:t>
      </w:r>
    </w:p>
    <w:p w14:paraId="462C4B2D">
      <w:pPr>
        <w:pStyle w:val="8"/>
        <w:rPr>
          <w:rFonts w:ascii="Times New Roman" w:hAnsi="Times New Roman"/>
        </w:rPr>
      </w:pPr>
    </w:p>
    <w:p w14:paraId="60DB0BE9">
      <w:pPr>
        <w:adjustRightInd w:val="0"/>
        <w:snapToGrid w:val="0"/>
        <w:rPr>
          <w:rFonts w:ascii="Times New Roman" w:hAnsi="Times New Roman" w:eastAsia="仿宋_GB2312" w:cs="仿宋_GB2312"/>
          <w:b/>
          <w:sz w:val="32"/>
          <w:szCs w:val="32"/>
        </w:rPr>
      </w:pPr>
      <w:r>
        <w:rPr>
          <w:rFonts w:ascii="Times New Roman" w:hAnsi="Times New Roman" w:eastAsia="仿宋_GB2312" w:cs="仿宋_GB2312"/>
          <w:b/>
          <w:sz w:val="32"/>
          <w:szCs w:val="32"/>
        </w:rPr>
        <w:drawing>
          <wp:inline distT="0" distB="0" distL="0" distR="0">
            <wp:extent cx="5579745" cy="3081020"/>
            <wp:effectExtent l="0" t="0" r="1905"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580000" cy="3081630"/>
                    </a:xfrm>
                    <a:prstGeom prst="rect">
                      <a:avLst/>
                    </a:prstGeom>
                    <a:noFill/>
                  </pic:spPr>
                </pic:pic>
              </a:graphicData>
            </a:graphic>
          </wp:inline>
        </w:drawing>
      </w:r>
    </w:p>
    <w:p w14:paraId="75800607">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图16-1 金台区“十四五”项目投资情况</w:t>
      </w:r>
    </w:p>
    <w:p w14:paraId="3F0ACA4B">
      <w:pPr>
        <w:pStyle w:val="8"/>
      </w:pPr>
    </w:p>
    <w:p w14:paraId="1B7EDBA2">
      <w:pPr>
        <w:adjustRightInd w:val="0"/>
        <w:snapToGrid w:val="0"/>
        <w:jc w:val="center"/>
        <w:rPr>
          <w:rFonts w:ascii="Times New Roman" w:hAnsi="Times New Roman" w:eastAsia="仿宋_GB2312"/>
          <w:sz w:val="32"/>
          <w:szCs w:val="32"/>
        </w:rPr>
      </w:pPr>
      <w:r>
        <w:rPr>
          <w:rFonts w:ascii="Times New Roman" w:hAnsi="Times New Roman" w:eastAsia="仿宋_GB2312"/>
          <w:sz w:val="32"/>
          <w:szCs w:val="32"/>
        </w:rPr>
        <w:drawing>
          <wp:inline distT="0" distB="0" distL="0" distR="0">
            <wp:extent cx="5588000" cy="28194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16">
                      <a:extLst>
                        <a:ext uri="{28A0092B-C50C-407E-A947-70E740481C1C}">
                          <a14:useLocalDpi xmlns:a14="http://schemas.microsoft.com/office/drawing/2010/main" val="0"/>
                        </a:ext>
                      </a:extLst>
                    </a:blip>
                    <a:srcRect l="3220" t="9196" r="3622" b="21539"/>
                    <a:stretch>
                      <a:fillRect/>
                    </a:stretch>
                  </pic:blipFill>
                  <pic:spPr>
                    <a:xfrm>
                      <a:off x="0" y="0"/>
                      <a:ext cx="5588000" cy="2819400"/>
                    </a:xfrm>
                    <a:prstGeom prst="rect">
                      <a:avLst/>
                    </a:prstGeom>
                    <a:noFill/>
                    <a:ln>
                      <a:noFill/>
                    </a:ln>
                  </pic:spPr>
                </pic:pic>
              </a:graphicData>
            </a:graphic>
          </wp:inline>
        </w:drawing>
      </w:r>
    </w:p>
    <w:p w14:paraId="4F094F69">
      <w:pPr>
        <w:adjustRightInd w:val="0"/>
        <w:snapToGrid w:val="0"/>
        <w:jc w:val="center"/>
        <w:rPr>
          <w:rFonts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图16-2 金台区“十四五”重点项目示意图</w:t>
      </w:r>
      <w:bookmarkStart w:id="413" w:name="_Toc50988355"/>
      <w:bookmarkStart w:id="414" w:name="_Toc41855044"/>
      <w:bookmarkStart w:id="415" w:name="_Toc50988103"/>
      <w:bookmarkStart w:id="416" w:name="_Toc42100183"/>
      <w:bookmarkStart w:id="417" w:name="_Toc53863334"/>
      <w:bookmarkStart w:id="418" w:name="_Toc49276091"/>
      <w:bookmarkStart w:id="419" w:name="_Toc50710139"/>
      <w:bookmarkStart w:id="420" w:name="_Toc42610463"/>
      <w:bookmarkStart w:id="421" w:name="_Toc60179278"/>
    </w:p>
    <w:bookmarkEnd w:id="413"/>
    <w:bookmarkEnd w:id="414"/>
    <w:bookmarkEnd w:id="415"/>
    <w:bookmarkEnd w:id="416"/>
    <w:bookmarkEnd w:id="417"/>
    <w:bookmarkEnd w:id="418"/>
    <w:bookmarkEnd w:id="419"/>
    <w:bookmarkEnd w:id="420"/>
    <w:bookmarkEnd w:id="421"/>
    <w:p w14:paraId="3B46771D">
      <w:pPr>
        <w:rPr>
          <w:rFonts w:ascii="Times New Roman" w:hAnsi="Times New Roman" w:cs="宋体"/>
          <w:sz w:val="32"/>
          <w:szCs w:val="24"/>
        </w:rPr>
      </w:pPr>
      <w:bookmarkStart w:id="422" w:name="_Toc50988356"/>
      <w:bookmarkStart w:id="423" w:name="_Toc50710140"/>
      <w:bookmarkStart w:id="424" w:name="_Toc53863335"/>
      <w:bookmarkStart w:id="425" w:name="_Toc49276092"/>
      <w:bookmarkStart w:id="426" w:name="_Toc50988104"/>
      <w:r>
        <w:rPr>
          <w:rFonts w:hint="eastAsia" w:ascii="Times New Roman" w:hAnsi="Times New Roman" w:cs="宋体"/>
          <w:sz w:val="32"/>
          <w:szCs w:val="24"/>
        </w:rPr>
        <w:br w:type="page"/>
      </w:r>
    </w:p>
    <w:p w14:paraId="670D1648">
      <w:pPr>
        <w:pStyle w:val="4"/>
        <w:widowControl w:val="0"/>
        <w:spacing w:before="240" w:beforeLines="100" w:after="240" w:afterLines="100" w:line="600" w:lineRule="exact"/>
        <w:ind w:firstLine="0" w:firstLineChars="0"/>
        <w:jc w:val="center"/>
        <w:rPr>
          <w:rFonts w:ascii="Times New Roman" w:hAnsi="Times New Roman" w:cs="宋体"/>
          <w:bCs w:val="0"/>
          <w:sz w:val="32"/>
          <w:szCs w:val="24"/>
        </w:rPr>
      </w:pPr>
      <w:bookmarkStart w:id="427" w:name="_Toc66443019"/>
      <w:r>
        <w:rPr>
          <w:rFonts w:hint="eastAsia" w:ascii="Times New Roman" w:hAnsi="Times New Roman" w:cs="宋体"/>
          <w:bCs w:val="0"/>
          <w:sz w:val="32"/>
          <w:szCs w:val="24"/>
        </w:rPr>
        <w:t>第四节</w:t>
      </w:r>
      <w:r>
        <w:rPr>
          <w:rFonts w:ascii="Times New Roman" w:hAnsi="Times New Roman" w:cs="宋体"/>
          <w:bCs w:val="0"/>
          <w:sz w:val="32"/>
          <w:szCs w:val="24"/>
        </w:rPr>
        <w:t xml:space="preserve"> </w:t>
      </w:r>
      <w:r>
        <w:rPr>
          <w:rFonts w:hint="eastAsia" w:ascii="Times New Roman" w:hAnsi="Times New Roman" w:cs="宋体"/>
          <w:bCs w:val="0"/>
          <w:sz w:val="32"/>
          <w:szCs w:val="24"/>
        </w:rPr>
        <w:t>建立实施评估制度</w:t>
      </w:r>
      <w:bookmarkEnd w:id="422"/>
      <w:bookmarkEnd w:id="423"/>
      <w:bookmarkEnd w:id="424"/>
      <w:bookmarkEnd w:id="425"/>
      <w:bookmarkEnd w:id="426"/>
      <w:bookmarkEnd w:id="427"/>
    </w:p>
    <w:p w14:paraId="57409EDE">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完善评估机制。</w:t>
      </w:r>
      <w:r>
        <w:rPr>
          <w:rFonts w:hint="eastAsia" w:ascii="Times New Roman" w:hAnsi="Times New Roman" w:eastAsia="仿宋_GB2312" w:cs="仿宋_GB2312"/>
          <w:sz w:val="32"/>
          <w:szCs w:val="32"/>
        </w:rPr>
        <w:t xml:space="preserve">健全规划纲要指标体系的统计和评价制度，确保数据权威准确、科学合理。根据规划目标对各单位年度目标、指标和任务进行及时分解，积极开展年度评估。引入第三方机构进行评估，扩大民意测评范围，增强规划的准确性和广泛性。 </w:t>
      </w:r>
    </w:p>
    <w:p w14:paraId="4E3F2A9A">
      <w:pPr>
        <w:snapToGrid w:val="0"/>
        <w:spacing w:line="560" w:lineRule="exact"/>
        <w:ind w:firstLine="643" w:firstLineChars="200"/>
        <w:jc w:val="both"/>
        <w:rPr>
          <w:rFonts w:ascii="Times New Roman" w:hAnsi="Times New Roman" w:eastAsia="仿宋_GB2312" w:cs="仿宋_GB2312"/>
          <w:sz w:val="32"/>
          <w:szCs w:val="32"/>
        </w:rPr>
      </w:pPr>
      <w:r>
        <w:rPr>
          <w:rFonts w:hint="eastAsia" w:ascii="Times New Roman" w:hAnsi="Times New Roman" w:eastAsia="仿宋_GB2312"/>
          <w:b/>
          <w:bCs/>
          <w:sz w:val="32"/>
          <w:szCs w:val="32"/>
        </w:rPr>
        <w:t>调整目标考核导向。</w:t>
      </w:r>
      <w:r>
        <w:rPr>
          <w:rFonts w:hint="eastAsia" w:ascii="Times New Roman" w:hAnsi="Times New Roman" w:eastAsia="仿宋_GB2312" w:cs="仿宋_GB2312"/>
          <w:sz w:val="32"/>
          <w:szCs w:val="32"/>
        </w:rPr>
        <w:t>加快转变以规模、总量作为主要指标的考核导向，着重考核人均指标，以及创新、人文、社会、生态等指标，坚持把经济总量增长与社会发展、资源环境代价联系起来，更全面、更客观地反映全区经济社会发展水平和效益。</w:t>
      </w:r>
    </w:p>
    <w:p w14:paraId="2D99D983">
      <w:pPr>
        <w:snapToGrid w:val="0"/>
        <w:spacing w:line="560" w:lineRule="exact"/>
        <w:ind w:firstLine="643" w:firstLineChars="200"/>
        <w:jc w:val="both"/>
        <w:rPr>
          <w:rFonts w:ascii="Times New Roman" w:hAnsi="Times New Roman" w:eastAsia="仿宋_GB2312" w:cs="仿宋_GB2312"/>
          <w:sz w:val="32"/>
          <w:szCs w:val="32"/>
        </w:rPr>
        <w:sectPr>
          <w:pgSz w:w="11907" w:h="16840"/>
          <w:pgMar w:top="1440" w:right="1474" w:bottom="1440" w:left="1588" w:header="851" w:footer="992" w:gutter="0"/>
          <w:cols w:space="425" w:num="1"/>
          <w:docGrid w:linePitch="312" w:charSpace="0"/>
        </w:sectPr>
      </w:pPr>
      <w:r>
        <w:rPr>
          <w:rFonts w:hint="eastAsia" w:ascii="Times New Roman" w:hAnsi="Times New Roman" w:eastAsia="仿宋_GB2312"/>
          <w:b/>
          <w:bCs/>
          <w:sz w:val="32"/>
          <w:szCs w:val="32"/>
        </w:rPr>
        <w:t>完善群众监督机制。</w:t>
      </w:r>
      <w:r>
        <w:rPr>
          <w:rFonts w:hint="eastAsia" w:ascii="Times New Roman" w:hAnsi="Times New Roman" w:eastAsia="仿宋_GB2312" w:cs="仿宋_GB2312"/>
          <w:sz w:val="32"/>
          <w:szCs w:val="32"/>
        </w:rPr>
        <w:t>进一步整合各单位信息资源，着力推进规划实施的信息公开，广泛征求社会各界对规划实施的意见和建议，健全政府与企业、群众的信息沟通和交流机制，充分发挥新闻媒体作用，提高规划实施的民主化和透明度，接受群众监督。</w:t>
      </w:r>
    </w:p>
    <w:p w14:paraId="67DF7146">
      <w:pPr>
        <w:pStyle w:val="3"/>
        <w:keepNext w:val="0"/>
        <w:keepLines w:val="0"/>
        <w:adjustRightInd w:val="0"/>
        <w:snapToGrid w:val="0"/>
        <w:spacing w:before="0" w:after="0" w:line="240" w:lineRule="auto"/>
        <w:rPr>
          <w:rFonts w:eastAsia="黑体"/>
          <w:b w:val="0"/>
          <w:sz w:val="32"/>
          <w:szCs w:val="32"/>
        </w:rPr>
      </w:pPr>
      <w:bookmarkStart w:id="428" w:name="_Toc66443020"/>
      <w:bookmarkStart w:id="429" w:name="_Toc50988365"/>
      <w:bookmarkStart w:id="430" w:name="_Toc49276093"/>
      <w:bookmarkStart w:id="431" w:name="_Toc50710141"/>
      <w:bookmarkStart w:id="432" w:name="_Toc50988113"/>
      <w:bookmarkStart w:id="433" w:name="_Toc54098781"/>
      <w:bookmarkStart w:id="434" w:name="_Toc53863342"/>
      <w:bookmarkStart w:id="435" w:name="_Toc59879009"/>
      <w:r>
        <w:rPr>
          <w:rFonts w:eastAsia="黑体"/>
          <w:b w:val="0"/>
          <w:sz w:val="32"/>
          <w:szCs w:val="32"/>
        </w:rPr>
        <w:t>附表：</w:t>
      </w:r>
      <w:bookmarkEnd w:id="428"/>
    </w:p>
    <w:p w14:paraId="75A4A728">
      <w:pPr>
        <w:pStyle w:val="8"/>
        <w:ind w:firstLine="640"/>
        <w:jc w:val="center"/>
        <w:rPr>
          <w:rFonts w:eastAsia="黑体"/>
          <w:sz w:val="32"/>
          <w:szCs w:val="32"/>
        </w:rPr>
      </w:pPr>
      <w:bookmarkStart w:id="436" w:name="_Toc66193671"/>
      <w:r>
        <w:rPr>
          <w:rFonts w:eastAsia="黑体"/>
          <w:sz w:val="32"/>
          <w:szCs w:val="32"/>
        </w:rPr>
        <w:t>金台区</w:t>
      </w:r>
      <w:r>
        <w:rPr>
          <w:rFonts w:hint="eastAsia" w:eastAsia="黑体"/>
          <w:sz w:val="32"/>
          <w:szCs w:val="32"/>
        </w:rPr>
        <w:t>“</w:t>
      </w:r>
      <w:r>
        <w:rPr>
          <w:rFonts w:eastAsia="黑体"/>
          <w:sz w:val="32"/>
          <w:szCs w:val="32"/>
        </w:rPr>
        <w:t>十四五</w:t>
      </w:r>
      <w:r>
        <w:rPr>
          <w:rFonts w:hint="eastAsia" w:eastAsia="黑体"/>
          <w:sz w:val="32"/>
          <w:szCs w:val="32"/>
        </w:rPr>
        <w:t>”规划重大项目计划</w:t>
      </w:r>
      <w:bookmarkEnd w:id="429"/>
      <w:bookmarkEnd w:id="430"/>
      <w:bookmarkEnd w:id="431"/>
      <w:bookmarkEnd w:id="432"/>
      <w:bookmarkEnd w:id="433"/>
      <w:bookmarkEnd w:id="434"/>
      <w:r>
        <w:rPr>
          <w:rFonts w:hint="eastAsia" w:eastAsia="黑体"/>
          <w:sz w:val="32"/>
          <w:szCs w:val="32"/>
        </w:rPr>
        <w:t>表</w:t>
      </w:r>
      <w:bookmarkEnd w:id="435"/>
      <w:bookmarkEnd w:id="436"/>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63"/>
        <w:gridCol w:w="1444"/>
        <w:gridCol w:w="6019"/>
        <w:gridCol w:w="1357"/>
        <w:gridCol w:w="1103"/>
        <w:gridCol w:w="947"/>
        <w:gridCol w:w="1112"/>
        <w:gridCol w:w="941"/>
        <w:gridCol w:w="1156"/>
      </w:tblGrid>
      <w:tr w14:paraId="6D5AD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225" w:type="pct"/>
            <w:shd w:val="clear" w:color="auto" w:fill="auto"/>
            <w:vAlign w:val="center"/>
          </w:tcPr>
          <w:p w14:paraId="0C4B10E3">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序号</w:t>
            </w:r>
          </w:p>
        </w:tc>
        <w:tc>
          <w:tcPr>
            <w:tcW w:w="490" w:type="pct"/>
            <w:shd w:val="clear" w:color="auto" w:fill="auto"/>
            <w:vAlign w:val="center"/>
          </w:tcPr>
          <w:p w14:paraId="6700A841">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项目名称</w:t>
            </w:r>
          </w:p>
        </w:tc>
        <w:tc>
          <w:tcPr>
            <w:tcW w:w="2040" w:type="pct"/>
            <w:shd w:val="clear" w:color="auto" w:fill="auto"/>
            <w:vAlign w:val="center"/>
          </w:tcPr>
          <w:p w14:paraId="71BB2FE7">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建设规模及内容</w:t>
            </w:r>
          </w:p>
        </w:tc>
        <w:tc>
          <w:tcPr>
            <w:tcW w:w="460" w:type="pct"/>
            <w:shd w:val="clear" w:color="auto" w:fill="auto"/>
            <w:vAlign w:val="center"/>
          </w:tcPr>
          <w:p w14:paraId="6E661A1B">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w:t>
            </w:r>
          </w:p>
          <w:p w14:paraId="2CD8CFFF">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地点</w:t>
            </w:r>
          </w:p>
        </w:tc>
        <w:tc>
          <w:tcPr>
            <w:tcW w:w="374" w:type="pct"/>
            <w:shd w:val="clear" w:color="auto" w:fill="auto"/>
            <w:vAlign w:val="center"/>
          </w:tcPr>
          <w:p w14:paraId="559E3472">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建设起止</w:t>
            </w:r>
          </w:p>
          <w:p w14:paraId="49408E1D">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年限</w:t>
            </w:r>
          </w:p>
        </w:tc>
        <w:tc>
          <w:tcPr>
            <w:tcW w:w="321" w:type="pct"/>
            <w:shd w:val="clear" w:color="auto" w:fill="auto"/>
            <w:vAlign w:val="center"/>
          </w:tcPr>
          <w:p w14:paraId="675C65C2">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总投资（亿元）</w:t>
            </w:r>
          </w:p>
        </w:tc>
        <w:tc>
          <w:tcPr>
            <w:tcW w:w="377" w:type="pct"/>
            <w:shd w:val="clear" w:color="auto" w:fill="auto"/>
            <w:vAlign w:val="center"/>
          </w:tcPr>
          <w:p w14:paraId="0DD1BE13">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“十四五”期间投资（亿元）</w:t>
            </w:r>
          </w:p>
        </w:tc>
        <w:tc>
          <w:tcPr>
            <w:tcW w:w="319" w:type="pct"/>
            <w:shd w:val="clear" w:color="auto" w:fill="auto"/>
            <w:vAlign w:val="center"/>
          </w:tcPr>
          <w:p w14:paraId="4A5D53B5">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投资来源</w:t>
            </w:r>
          </w:p>
        </w:tc>
        <w:tc>
          <w:tcPr>
            <w:tcW w:w="392" w:type="pct"/>
            <w:shd w:val="clear" w:color="auto" w:fill="auto"/>
            <w:vAlign w:val="center"/>
          </w:tcPr>
          <w:p w14:paraId="580A5E55">
            <w:pPr>
              <w:adjustRightInd w:val="0"/>
              <w:snapToGrid w:val="0"/>
              <w:jc w:val="center"/>
              <w:rPr>
                <w:rFonts w:ascii="仿宋_GB2312" w:hAnsi="黑体" w:eastAsia="仿宋_GB2312" w:cs="宋体"/>
                <w:b/>
                <w:kern w:val="0"/>
                <w:sz w:val="20"/>
                <w:szCs w:val="20"/>
              </w:rPr>
            </w:pPr>
            <w:r>
              <w:rPr>
                <w:rFonts w:hint="eastAsia" w:ascii="仿宋_GB2312" w:hAnsi="黑体" w:eastAsia="仿宋_GB2312" w:cs="宋体"/>
                <w:b/>
                <w:kern w:val="0"/>
                <w:sz w:val="20"/>
                <w:szCs w:val="20"/>
              </w:rPr>
              <w:t>项目单位</w:t>
            </w:r>
          </w:p>
        </w:tc>
      </w:tr>
      <w:tr w14:paraId="1E7C7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15" w:type="pct"/>
            <w:gridSpan w:val="2"/>
            <w:shd w:val="clear" w:color="auto" w:fill="auto"/>
            <w:vAlign w:val="center"/>
          </w:tcPr>
          <w:p w14:paraId="3D2F0E6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合计：349个</w:t>
            </w:r>
          </w:p>
        </w:tc>
        <w:tc>
          <w:tcPr>
            <w:tcW w:w="2040" w:type="pct"/>
            <w:shd w:val="clear" w:color="auto" w:fill="auto"/>
            <w:vAlign w:val="center"/>
          </w:tcPr>
          <w:p w14:paraId="2A7768E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AD784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285BB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71244D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w:t>
            </w:r>
            <w:r>
              <w:rPr>
                <w:rFonts w:ascii="仿宋_GB2312" w:hAnsi="宋体" w:eastAsia="仿宋_GB2312" w:cs="宋体"/>
                <w:b/>
                <w:bCs/>
                <w:kern w:val="0"/>
                <w:sz w:val="20"/>
                <w:szCs w:val="20"/>
              </w:rPr>
              <w:t>3</w:t>
            </w:r>
            <w:r>
              <w:rPr>
                <w:rFonts w:hint="eastAsia" w:ascii="仿宋_GB2312" w:hAnsi="宋体" w:eastAsia="仿宋_GB2312" w:cs="宋体"/>
                <w:b/>
                <w:bCs/>
                <w:kern w:val="0"/>
                <w:sz w:val="20"/>
                <w:szCs w:val="20"/>
              </w:rPr>
              <w:t xml:space="preserve">.60 </w:t>
            </w:r>
          </w:p>
        </w:tc>
        <w:tc>
          <w:tcPr>
            <w:tcW w:w="377" w:type="pct"/>
            <w:shd w:val="clear" w:color="auto" w:fill="auto"/>
            <w:vAlign w:val="center"/>
          </w:tcPr>
          <w:p w14:paraId="1308C02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175</w:t>
            </w:r>
            <w:r>
              <w:rPr>
                <w:rFonts w:ascii="仿宋_GB2312" w:hAnsi="宋体" w:eastAsia="仿宋_GB2312" w:cs="宋体"/>
                <w:b/>
                <w:bCs/>
                <w:kern w:val="0"/>
                <w:sz w:val="20"/>
                <w:szCs w:val="20"/>
              </w:rPr>
              <w:t>4</w:t>
            </w:r>
            <w:r>
              <w:rPr>
                <w:rFonts w:hint="eastAsia" w:ascii="仿宋_GB2312" w:hAnsi="宋体" w:eastAsia="仿宋_GB2312" w:cs="宋体"/>
                <w:b/>
                <w:bCs/>
                <w:kern w:val="0"/>
                <w:sz w:val="20"/>
                <w:szCs w:val="20"/>
              </w:rPr>
              <w:t xml:space="preserve">.60 </w:t>
            </w:r>
          </w:p>
        </w:tc>
        <w:tc>
          <w:tcPr>
            <w:tcW w:w="319" w:type="pct"/>
            <w:shd w:val="clear" w:color="auto" w:fill="auto"/>
            <w:vAlign w:val="center"/>
          </w:tcPr>
          <w:p w14:paraId="11353A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B8602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AFCF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0978412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一、创新驱动项目（20个）</w:t>
            </w:r>
          </w:p>
        </w:tc>
        <w:tc>
          <w:tcPr>
            <w:tcW w:w="460" w:type="pct"/>
            <w:shd w:val="clear" w:color="auto" w:fill="auto"/>
            <w:vAlign w:val="center"/>
          </w:tcPr>
          <w:p w14:paraId="4FFCDA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AAD7A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851FD8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75.6</w:t>
            </w:r>
          </w:p>
        </w:tc>
        <w:tc>
          <w:tcPr>
            <w:tcW w:w="377" w:type="pct"/>
            <w:shd w:val="clear" w:color="auto" w:fill="auto"/>
            <w:vAlign w:val="center"/>
          </w:tcPr>
          <w:p w14:paraId="4961ACF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74.55</w:t>
            </w:r>
          </w:p>
        </w:tc>
        <w:tc>
          <w:tcPr>
            <w:tcW w:w="319" w:type="pct"/>
            <w:shd w:val="clear" w:color="auto" w:fill="auto"/>
            <w:vAlign w:val="center"/>
          </w:tcPr>
          <w:p w14:paraId="411201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F3E3D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40FC9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68AF7B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39F4BC6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数字经济（13）</w:t>
            </w:r>
          </w:p>
        </w:tc>
        <w:tc>
          <w:tcPr>
            <w:tcW w:w="2040" w:type="pct"/>
            <w:shd w:val="clear" w:color="auto" w:fill="auto"/>
            <w:vAlign w:val="center"/>
          </w:tcPr>
          <w:p w14:paraId="29FBEB4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1651B1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A618F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CE34C2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49.3</w:t>
            </w:r>
          </w:p>
        </w:tc>
        <w:tc>
          <w:tcPr>
            <w:tcW w:w="377" w:type="pct"/>
            <w:shd w:val="clear" w:color="auto" w:fill="auto"/>
            <w:vAlign w:val="center"/>
          </w:tcPr>
          <w:p w14:paraId="4B40832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w:t>
            </w:r>
          </w:p>
        </w:tc>
        <w:tc>
          <w:tcPr>
            <w:tcW w:w="319" w:type="pct"/>
            <w:shd w:val="clear" w:color="auto" w:fill="auto"/>
            <w:vAlign w:val="center"/>
          </w:tcPr>
          <w:p w14:paraId="64DA2F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B62C6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D420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8CCC47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w:t>
            </w:r>
          </w:p>
        </w:tc>
        <w:tc>
          <w:tcPr>
            <w:tcW w:w="490" w:type="pct"/>
            <w:shd w:val="clear" w:color="auto" w:fill="auto"/>
            <w:vAlign w:val="center"/>
          </w:tcPr>
          <w:p w14:paraId="30374E9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金台区大数据中心项目</w:t>
            </w:r>
          </w:p>
        </w:tc>
        <w:tc>
          <w:tcPr>
            <w:tcW w:w="2040" w:type="pct"/>
            <w:shd w:val="clear" w:color="auto" w:fill="auto"/>
            <w:vAlign w:val="center"/>
          </w:tcPr>
          <w:p w14:paraId="2B85EE1F">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根据国家社会治理“9+x”标准，建设“数聚金台”智慧城市综合管理平台，汇聚扶贫、社区、环保、营商环境等行业部门数据，扩大区级电子政务机房存储规模；建设新区教育医疗、交通旅游、防灾减灾、环保检测、物流配送、社区管理等数据处理中心、研发和技术交流平台；建设蟠龙智慧城市公共服务管理平台和信息资源、数据共享交换中心等，形成金台大数据中心</w:t>
            </w:r>
          </w:p>
        </w:tc>
        <w:tc>
          <w:tcPr>
            <w:tcW w:w="460" w:type="pct"/>
            <w:shd w:val="clear" w:color="auto" w:fill="auto"/>
            <w:vAlign w:val="center"/>
          </w:tcPr>
          <w:p w14:paraId="7D2CB39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3C628B1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9032E5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77" w:type="pct"/>
            <w:shd w:val="clear" w:color="auto" w:fill="auto"/>
            <w:vAlign w:val="center"/>
          </w:tcPr>
          <w:p w14:paraId="3CE9CFE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319" w:type="pct"/>
            <w:shd w:val="clear" w:color="auto" w:fill="auto"/>
            <w:vAlign w:val="center"/>
          </w:tcPr>
          <w:p w14:paraId="5AAF108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6498F81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蟠龙新区管委会</w:t>
            </w:r>
          </w:p>
        </w:tc>
      </w:tr>
      <w:tr w14:paraId="702BC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0F1985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490" w:type="pct"/>
            <w:shd w:val="clear" w:color="auto" w:fill="auto"/>
            <w:vAlign w:val="center"/>
          </w:tcPr>
          <w:p w14:paraId="0A2F7F0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金台区雪亮工程建设项目</w:t>
            </w:r>
          </w:p>
        </w:tc>
        <w:tc>
          <w:tcPr>
            <w:tcW w:w="2040" w:type="pct"/>
            <w:shd w:val="clear" w:color="auto" w:fill="auto"/>
            <w:vAlign w:val="center"/>
          </w:tcPr>
          <w:p w14:paraId="484C5B1A">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以区、村二级综治中心为指挥平台、以综治信息化为支撑、以网格化管理为基础、以公共安全视频监控联网应用为重点的“群众性治安防控工程”，新建管理中心1000平方米，视频数据储存分析中心350平方米；配套购置计算机60台</w:t>
            </w:r>
          </w:p>
        </w:tc>
        <w:tc>
          <w:tcPr>
            <w:tcW w:w="460" w:type="pct"/>
            <w:shd w:val="clear" w:color="auto" w:fill="auto"/>
            <w:vAlign w:val="center"/>
          </w:tcPr>
          <w:p w14:paraId="3C78FAD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267836A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2020-2021</w:t>
            </w:r>
          </w:p>
        </w:tc>
        <w:tc>
          <w:tcPr>
            <w:tcW w:w="321" w:type="pct"/>
            <w:shd w:val="clear" w:color="auto" w:fill="auto"/>
            <w:vAlign w:val="center"/>
          </w:tcPr>
          <w:p w14:paraId="0269484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0.45</w:t>
            </w:r>
          </w:p>
        </w:tc>
        <w:tc>
          <w:tcPr>
            <w:tcW w:w="377" w:type="pct"/>
            <w:shd w:val="clear" w:color="auto" w:fill="auto"/>
            <w:vAlign w:val="center"/>
          </w:tcPr>
          <w:p w14:paraId="70EF0CF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0.4</w:t>
            </w:r>
          </w:p>
        </w:tc>
        <w:tc>
          <w:tcPr>
            <w:tcW w:w="319" w:type="pct"/>
            <w:shd w:val="clear" w:color="auto" w:fill="auto"/>
            <w:vAlign w:val="center"/>
          </w:tcPr>
          <w:p w14:paraId="1AC7DFF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1F321CB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市公安局金台分局           区委政法委</w:t>
            </w:r>
          </w:p>
        </w:tc>
      </w:tr>
      <w:tr w14:paraId="7BC21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4BC569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w:t>
            </w:r>
          </w:p>
        </w:tc>
        <w:tc>
          <w:tcPr>
            <w:tcW w:w="490" w:type="pct"/>
            <w:shd w:val="clear" w:color="auto" w:fill="auto"/>
            <w:vAlign w:val="center"/>
          </w:tcPr>
          <w:p w14:paraId="4547AC7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金台区数字化科创中心</w:t>
            </w:r>
          </w:p>
        </w:tc>
        <w:tc>
          <w:tcPr>
            <w:tcW w:w="2040" w:type="pct"/>
            <w:shd w:val="clear" w:color="auto" w:fill="auto"/>
            <w:vAlign w:val="center"/>
          </w:tcPr>
          <w:p w14:paraId="5D7A1BF3">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整合工信、科技部门、宝鸡文理学院计算机学院相关资源，推动政校企深度合作，解决全区相关企业在软件研发硬件集成等困难需求，开展高新科技人才培训，形成创新创业基地</w:t>
            </w:r>
          </w:p>
        </w:tc>
        <w:tc>
          <w:tcPr>
            <w:tcW w:w="460" w:type="pct"/>
            <w:shd w:val="clear" w:color="auto" w:fill="auto"/>
            <w:vAlign w:val="center"/>
          </w:tcPr>
          <w:p w14:paraId="1852BBE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44D69C2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5A3F75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78451C7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4FE1A82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11E5E37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金台区大数据产业园管委办</w:t>
            </w:r>
          </w:p>
        </w:tc>
      </w:tr>
      <w:tr w14:paraId="4F0F7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FFD120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4</w:t>
            </w:r>
          </w:p>
        </w:tc>
        <w:tc>
          <w:tcPr>
            <w:tcW w:w="490" w:type="pct"/>
            <w:shd w:val="clear" w:color="auto" w:fill="auto"/>
            <w:vAlign w:val="center"/>
          </w:tcPr>
          <w:p w14:paraId="10EC1F1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金台区人工智能复合测试平台</w:t>
            </w:r>
          </w:p>
        </w:tc>
        <w:tc>
          <w:tcPr>
            <w:tcW w:w="2040" w:type="pct"/>
            <w:shd w:val="clear" w:color="auto" w:fill="auto"/>
            <w:vAlign w:val="center"/>
          </w:tcPr>
          <w:p w14:paraId="5E4F597C">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基于人工智能理念设计的专业化测试平台，提供政务、医疗、景区、主题活动等机器人定制化服务，依托公司软件开发团队，为税务、金融等机构提供特定软件开发，同时实现多项测试项目的外包服务</w:t>
            </w:r>
          </w:p>
        </w:tc>
        <w:tc>
          <w:tcPr>
            <w:tcW w:w="460" w:type="pct"/>
            <w:shd w:val="clear" w:color="auto" w:fill="auto"/>
            <w:vAlign w:val="center"/>
          </w:tcPr>
          <w:p w14:paraId="28C019B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774E483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F03097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77" w:type="pct"/>
            <w:shd w:val="clear" w:color="auto" w:fill="auto"/>
            <w:vAlign w:val="center"/>
          </w:tcPr>
          <w:p w14:paraId="127D1EB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0.25</w:t>
            </w:r>
          </w:p>
        </w:tc>
        <w:tc>
          <w:tcPr>
            <w:tcW w:w="319" w:type="pct"/>
            <w:shd w:val="clear" w:color="auto" w:fill="auto"/>
            <w:vAlign w:val="center"/>
          </w:tcPr>
          <w:p w14:paraId="1623A59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9D942E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0F43A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977469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490" w:type="pct"/>
            <w:shd w:val="clear" w:color="auto" w:fill="auto"/>
            <w:vAlign w:val="center"/>
          </w:tcPr>
          <w:p w14:paraId="6EE19DE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金台区数字经济产业园项目</w:t>
            </w:r>
          </w:p>
        </w:tc>
        <w:tc>
          <w:tcPr>
            <w:tcW w:w="2040" w:type="pct"/>
            <w:shd w:val="clear" w:color="auto" w:fill="auto"/>
            <w:vAlign w:val="center"/>
          </w:tcPr>
          <w:p w14:paraId="1A2876F0">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依托大数据产业园发展，围绕“数字产业化，产业数字化”思路目标，着力发展电子商务、人工智能、软件研发、大数据应用场景开发等，形成大数据产业链，促进区域经济高质量发展</w:t>
            </w:r>
          </w:p>
        </w:tc>
        <w:tc>
          <w:tcPr>
            <w:tcW w:w="460" w:type="pct"/>
            <w:shd w:val="clear" w:color="auto" w:fill="auto"/>
            <w:vAlign w:val="center"/>
          </w:tcPr>
          <w:p w14:paraId="16B9730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金台区大数据产业园</w:t>
            </w:r>
          </w:p>
        </w:tc>
        <w:tc>
          <w:tcPr>
            <w:tcW w:w="374" w:type="pct"/>
            <w:shd w:val="clear" w:color="auto" w:fill="auto"/>
            <w:vAlign w:val="center"/>
          </w:tcPr>
          <w:p w14:paraId="10A1E74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013F81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77" w:type="pct"/>
            <w:shd w:val="clear" w:color="auto" w:fill="auto"/>
            <w:vAlign w:val="center"/>
          </w:tcPr>
          <w:p w14:paraId="485FF01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2.5</w:t>
            </w:r>
          </w:p>
        </w:tc>
        <w:tc>
          <w:tcPr>
            <w:tcW w:w="319" w:type="pct"/>
            <w:shd w:val="clear" w:color="auto" w:fill="auto"/>
            <w:vAlign w:val="center"/>
          </w:tcPr>
          <w:p w14:paraId="6047752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C712C7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4B18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F16E3A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6</w:t>
            </w:r>
          </w:p>
        </w:tc>
        <w:tc>
          <w:tcPr>
            <w:tcW w:w="490" w:type="pct"/>
            <w:shd w:val="clear" w:color="auto" w:fill="auto"/>
            <w:vAlign w:val="center"/>
          </w:tcPr>
          <w:p w14:paraId="451315A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金台区空气质量监测物联网项目</w:t>
            </w:r>
          </w:p>
        </w:tc>
        <w:tc>
          <w:tcPr>
            <w:tcW w:w="2040" w:type="pct"/>
            <w:shd w:val="clear" w:color="auto" w:fill="auto"/>
            <w:vAlign w:val="center"/>
          </w:tcPr>
          <w:p w14:paraId="68C4060C">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建设PM2.5空气质量监测平台，包括硬件设施、配套系统、空气质量实时监测平台，布设相关监测点位，实现全域提供数据池积累，为交通出行、旅游等提供基础数据分析</w:t>
            </w:r>
          </w:p>
        </w:tc>
        <w:tc>
          <w:tcPr>
            <w:tcW w:w="460" w:type="pct"/>
            <w:shd w:val="clear" w:color="auto" w:fill="auto"/>
            <w:vAlign w:val="center"/>
          </w:tcPr>
          <w:p w14:paraId="306B7B0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5EAD2D3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7B74BC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77" w:type="pct"/>
            <w:shd w:val="clear" w:color="auto" w:fill="auto"/>
            <w:vAlign w:val="center"/>
          </w:tcPr>
          <w:p w14:paraId="4000116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0.2</w:t>
            </w:r>
          </w:p>
        </w:tc>
        <w:tc>
          <w:tcPr>
            <w:tcW w:w="319" w:type="pct"/>
            <w:shd w:val="clear" w:color="auto" w:fill="auto"/>
            <w:vAlign w:val="center"/>
          </w:tcPr>
          <w:p w14:paraId="4A8D178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107DF5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p>
        </w:tc>
      </w:tr>
      <w:tr w14:paraId="79D62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shd w:val="clear" w:color="auto" w:fill="auto"/>
            <w:vAlign w:val="center"/>
          </w:tcPr>
          <w:p w14:paraId="7805783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7</w:t>
            </w:r>
          </w:p>
        </w:tc>
        <w:tc>
          <w:tcPr>
            <w:tcW w:w="490" w:type="pct"/>
            <w:shd w:val="clear" w:color="auto" w:fill="auto"/>
            <w:vAlign w:val="center"/>
          </w:tcPr>
          <w:p w14:paraId="78318F7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金台区云尚金台直播平台</w:t>
            </w:r>
          </w:p>
        </w:tc>
        <w:tc>
          <w:tcPr>
            <w:tcW w:w="2040" w:type="pct"/>
            <w:shd w:val="clear" w:color="auto" w:fill="auto"/>
            <w:vAlign w:val="center"/>
          </w:tcPr>
          <w:p w14:paraId="702D12E4">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依托抖音、快手等平台，发布文娱、政务、旅游等作品，宣传金台特色亮点，培养专职主播，为需求企业提供直播、带货等服务</w:t>
            </w:r>
          </w:p>
        </w:tc>
        <w:tc>
          <w:tcPr>
            <w:tcW w:w="460" w:type="pct"/>
            <w:shd w:val="clear" w:color="auto" w:fill="auto"/>
            <w:vAlign w:val="center"/>
          </w:tcPr>
          <w:p w14:paraId="7F33DE4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1EF24CD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61EDC6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6DC66B7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6013A32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p>
          <w:p w14:paraId="1E965F3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E9B5EC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区数字化信息服务中心</w:t>
            </w:r>
          </w:p>
        </w:tc>
      </w:tr>
      <w:tr w14:paraId="5FCE9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1EAB6E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8</w:t>
            </w:r>
          </w:p>
        </w:tc>
        <w:tc>
          <w:tcPr>
            <w:tcW w:w="490" w:type="pct"/>
            <w:shd w:val="clear" w:color="auto" w:fill="auto"/>
            <w:vAlign w:val="center"/>
          </w:tcPr>
          <w:p w14:paraId="6DEDC37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金台区“互联网+健康扶贫”便民惠民服务信息化建设项目</w:t>
            </w:r>
          </w:p>
        </w:tc>
        <w:tc>
          <w:tcPr>
            <w:tcW w:w="2040" w:type="pct"/>
            <w:shd w:val="clear" w:color="auto" w:fill="auto"/>
            <w:vAlign w:val="center"/>
          </w:tcPr>
          <w:p w14:paraId="7FBF77B9">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在全区各个镇卫生院、社区卫生服务中心建立远程医疗诊疗系统（远程会诊、远程预约、双向转诊、远程专科诊断、远程监护和远程手术示教）；新建电子信息系统机房8个，购置数字化设备包括扫描仪40台、非线性编辑系统18个、计算机60个、打印机20个等电子化设备</w:t>
            </w:r>
          </w:p>
        </w:tc>
        <w:tc>
          <w:tcPr>
            <w:tcW w:w="460" w:type="pct"/>
            <w:shd w:val="clear" w:color="auto" w:fill="auto"/>
            <w:vAlign w:val="center"/>
          </w:tcPr>
          <w:p w14:paraId="508EB8F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全区各镇街</w:t>
            </w:r>
          </w:p>
        </w:tc>
        <w:tc>
          <w:tcPr>
            <w:tcW w:w="374" w:type="pct"/>
            <w:shd w:val="clear" w:color="auto" w:fill="auto"/>
            <w:vAlign w:val="center"/>
          </w:tcPr>
          <w:p w14:paraId="4F8BE78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E040B3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77" w:type="pct"/>
            <w:shd w:val="clear" w:color="auto" w:fill="auto"/>
            <w:vAlign w:val="center"/>
          </w:tcPr>
          <w:p w14:paraId="15EE5F1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0.3</w:t>
            </w:r>
          </w:p>
        </w:tc>
        <w:tc>
          <w:tcPr>
            <w:tcW w:w="319" w:type="pct"/>
            <w:shd w:val="clear" w:color="auto" w:fill="auto"/>
            <w:vAlign w:val="center"/>
          </w:tcPr>
          <w:p w14:paraId="0903C29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2993154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区卫健局</w:t>
            </w:r>
          </w:p>
        </w:tc>
      </w:tr>
      <w:tr w14:paraId="1CD6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E715E2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490" w:type="pct"/>
            <w:shd w:val="clear" w:color="auto" w:fill="auto"/>
            <w:vAlign w:val="center"/>
          </w:tcPr>
          <w:p w14:paraId="15F0584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金台区新型智慧城市建设项目</w:t>
            </w:r>
          </w:p>
        </w:tc>
        <w:tc>
          <w:tcPr>
            <w:tcW w:w="2040" w:type="pct"/>
            <w:shd w:val="clear" w:color="auto" w:fill="auto"/>
            <w:vAlign w:val="center"/>
          </w:tcPr>
          <w:p w14:paraId="691BD97E">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建设智慧基础设施、智慧城市综合管理平台，智慧政务平台、智慧产业平台、数据融合应用平台、金融科技服务平台，创新应用展厅等，打造城市云脑，实现社会经济跨越式发展</w:t>
            </w:r>
          </w:p>
        </w:tc>
        <w:tc>
          <w:tcPr>
            <w:tcW w:w="460" w:type="pct"/>
            <w:shd w:val="clear" w:color="auto" w:fill="auto"/>
            <w:vAlign w:val="center"/>
          </w:tcPr>
          <w:p w14:paraId="7C2CBB2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蟠龙新区</w:t>
            </w:r>
          </w:p>
        </w:tc>
        <w:tc>
          <w:tcPr>
            <w:tcW w:w="374" w:type="pct"/>
            <w:shd w:val="clear" w:color="auto" w:fill="auto"/>
            <w:vAlign w:val="center"/>
          </w:tcPr>
          <w:p w14:paraId="1049065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634CC05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77" w:type="pct"/>
            <w:shd w:val="clear" w:color="auto" w:fill="auto"/>
            <w:vAlign w:val="center"/>
          </w:tcPr>
          <w:p w14:paraId="5F0B4FA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w:t>
            </w:r>
          </w:p>
        </w:tc>
        <w:tc>
          <w:tcPr>
            <w:tcW w:w="319" w:type="pct"/>
            <w:shd w:val="clear" w:color="auto" w:fill="auto"/>
            <w:vAlign w:val="center"/>
          </w:tcPr>
          <w:p w14:paraId="2315120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7B915F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1BCE5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294615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490" w:type="pct"/>
            <w:shd w:val="clear" w:color="auto" w:fill="auto"/>
            <w:vAlign w:val="center"/>
          </w:tcPr>
          <w:p w14:paraId="70E4F8D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蟠龙新区5G基站及数字经济产业园项目</w:t>
            </w:r>
          </w:p>
        </w:tc>
        <w:tc>
          <w:tcPr>
            <w:tcW w:w="2040" w:type="pct"/>
            <w:shd w:val="clear" w:color="auto" w:fill="auto"/>
            <w:vAlign w:val="center"/>
          </w:tcPr>
          <w:p w14:paraId="0B329D2E">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蟠龙高新区规划区53平方公里范围，建设约420个5G宏基站，引进工业互联网、智能化、信息化智能制造、软件研发、大数据应用等企业，促进新区工业企业双化融合产业链，促进区域经济高质量发展。</w:t>
            </w:r>
          </w:p>
        </w:tc>
        <w:tc>
          <w:tcPr>
            <w:tcW w:w="460" w:type="pct"/>
            <w:shd w:val="clear" w:color="auto" w:fill="auto"/>
            <w:vAlign w:val="center"/>
          </w:tcPr>
          <w:p w14:paraId="3107643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45016BE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2020-2025</w:t>
            </w:r>
          </w:p>
        </w:tc>
        <w:tc>
          <w:tcPr>
            <w:tcW w:w="321" w:type="pct"/>
            <w:shd w:val="clear" w:color="auto" w:fill="auto"/>
            <w:vAlign w:val="center"/>
          </w:tcPr>
          <w:p w14:paraId="66A8267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10</w:t>
            </w:r>
          </w:p>
        </w:tc>
        <w:tc>
          <w:tcPr>
            <w:tcW w:w="377" w:type="pct"/>
            <w:shd w:val="clear" w:color="auto" w:fill="auto"/>
            <w:vAlign w:val="center"/>
          </w:tcPr>
          <w:p w14:paraId="3B1CAE0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9</w:t>
            </w:r>
          </w:p>
        </w:tc>
        <w:tc>
          <w:tcPr>
            <w:tcW w:w="319" w:type="pct"/>
            <w:shd w:val="clear" w:color="auto" w:fill="auto"/>
            <w:vAlign w:val="center"/>
          </w:tcPr>
          <w:p w14:paraId="4C659A3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企业自筹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D5A736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中国铁塔宝鸡分公司</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8"/>
                <w:kern w:val="0"/>
                <w:sz w:val="20"/>
                <w:szCs w:val="20"/>
                <w14:textFill>
                  <w14:solidFill>
                    <w14:schemeClr w14:val="tx1"/>
                  </w14:solidFill>
                </w14:textFill>
              </w:rPr>
              <w:t>蟠龙新区管委会</w:t>
            </w:r>
          </w:p>
        </w:tc>
      </w:tr>
      <w:tr w14:paraId="0A36D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943BD9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11</w:t>
            </w:r>
          </w:p>
        </w:tc>
        <w:tc>
          <w:tcPr>
            <w:tcW w:w="490" w:type="pct"/>
            <w:shd w:val="clear" w:color="auto" w:fill="auto"/>
            <w:vAlign w:val="center"/>
          </w:tcPr>
          <w:p w14:paraId="41A6EF4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金台区通信基础设施建设项目</w:t>
            </w:r>
          </w:p>
        </w:tc>
        <w:tc>
          <w:tcPr>
            <w:tcW w:w="2040" w:type="pct"/>
            <w:shd w:val="clear" w:color="auto" w:fill="auto"/>
            <w:vAlign w:val="center"/>
          </w:tcPr>
          <w:p w14:paraId="12408D32">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租赁5G建站所需路灯、电杆，购买智能灯杆和5G微基站，实现中心城区5G全覆盖，逐步建成集环境监测、智能监视、智慧照明、充电桩等一体的智慧城市通信基础设施系统</w:t>
            </w:r>
          </w:p>
        </w:tc>
        <w:tc>
          <w:tcPr>
            <w:tcW w:w="460" w:type="pct"/>
            <w:shd w:val="clear" w:color="auto" w:fill="auto"/>
            <w:vAlign w:val="center"/>
          </w:tcPr>
          <w:p w14:paraId="210C35C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13FD4F4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28DBB03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77" w:type="pct"/>
            <w:shd w:val="clear" w:color="auto" w:fill="auto"/>
            <w:vAlign w:val="center"/>
          </w:tcPr>
          <w:p w14:paraId="7E17E54C">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w:t>
            </w:r>
          </w:p>
        </w:tc>
        <w:tc>
          <w:tcPr>
            <w:tcW w:w="319" w:type="pct"/>
            <w:shd w:val="clear" w:color="auto" w:fill="auto"/>
            <w:vAlign w:val="center"/>
          </w:tcPr>
          <w:p w14:paraId="1796BA3A">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D0667E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区工信局</w:t>
            </w:r>
          </w:p>
        </w:tc>
      </w:tr>
      <w:tr w14:paraId="3BAFF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C7772B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12</w:t>
            </w:r>
          </w:p>
        </w:tc>
        <w:tc>
          <w:tcPr>
            <w:tcW w:w="490" w:type="pct"/>
            <w:shd w:val="clear" w:color="auto" w:fill="auto"/>
            <w:vAlign w:val="center"/>
          </w:tcPr>
          <w:p w14:paraId="69F8E4C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金台区智慧旅游项目</w:t>
            </w:r>
          </w:p>
        </w:tc>
        <w:tc>
          <w:tcPr>
            <w:tcW w:w="2040" w:type="pct"/>
            <w:shd w:val="clear" w:color="auto" w:fill="auto"/>
            <w:vAlign w:val="center"/>
          </w:tcPr>
          <w:p w14:paraId="52BC264B">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运用信息网络技术和装备，建设覆盖区域旅游景点的旅游平台，从而实现旅游服务、旅游管理、旅游营销、旅游体验的智能化，促进旅游业态向</w:t>
            </w:r>
            <w:r>
              <w:rPr>
                <w:rFonts w:hint="eastAsia" w:ascii="仿宋_GB2312" w:hAnsi="宋体" w:eastAsia="仿宋_GB2312" w:cs="宋体"/>
                <w:b w:val="0"/>
                <w:bCs w:val="0"/>
                <w:color w:val="000000" w:themeColor="text1"/>
                <w:kern w:val="0"/>
                <w:sz w:val="20"/>
                <w:szCs w:val="20"/>
                <w:lang w:eastAsia="zh-CN"/>
                <w14:textFill>
                  <w14:solidFill>
                    <w14:schemeClr w14:val="tx1"/>
                  </w14:solidFill>
                </w14:textFill>
              </w:rPr>
              <w:t>综合型</w:t>
            </w:r>
            <w:r>
              <w:rPr>
                <w:rFonts w:hint="eastAsia" w:ascii="仿宋_GB2312" w:hAnsi="宋体" w:eastAsia="仿宋_GB2312" w:cs="宋体"/>
                <w:b w:val="0"/>
                <w:bCs w:val="0"/>
                <w:color w:val="000000" w:themeColor="text1"/>
                <w:kern w:val="0"/>
                <w:sz w:val="20"/>
                <w:szCs w:val="20"/>
                <w14:textFill>
                  <w14:solidFill>
                    <w14:schemeClr w14:val="tx1"/>
                  </w14:solidFill>
                </w14:textFill>
              </w:rPr>
              <w:t>和融合型转型提升</w:t>
            </w:r>
          </w:p>
        </w:tc>
        <w:tc>
          <w:tcPr>
            <w:tcW w:w="460" w:type="pct"/>
            <w:shd w:val="clear" w:color="auto" w:fill="auto"/>
            <w:vAlign w:val="center"/>
          </w:tcPr>
          <w:p w14:paraId="6AED2A5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28DEE71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03968A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77" w:type="pct"/>
            <w:shd w:val="clear" w:color="auto" w:fill="auto"/>
            <w:vAlign w:val="center"/>
          </w:tcPr>
          <w:p w14:paraId="1CD9947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0.1</w:t>
            </w:r>
          </w:p>
        </w:tc>
        <w:tc>
          <w:tcPr>
            <w:tcW w:w="319" w:type="pct"/>
            <w:shd w:val="clear" w:color="auto" w:fill="auto"/>
            <w:vAlign w:val="center"/>
          </w:tcPr>
          <w:p w14:paraId="300A1BD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6668EF1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区文旅局</w:t>
            </w:r>
          </w:p>
        </w:tc>
      </w:tr>
      <w:tr w14:paraId="7A0D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2AF005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13</w:t>
            </w:r>
          </w:p>
        </w:tc>
        <w:tc>
          <w:tcPr>
            <w:tcW w:w="490" w:type="pct"/>
            <w:shd w:val="clear" w:color="auto" w:fill="auto"/>
            <w:vAlign w:val="center"/>
          </w:tcPr>
          <w:p w14:paraId="6C68ACC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spacing w:val="-6"/>
                <w:kern w:val="0"/>
                <w:sz w:val="20"/>
                <w:szCs w:val="20"/>
                <w14:textFill>
                  <w14:solidFill>
                    <w14:schemeClr w14:val="tx1"/>
                  </w14:solidFill>
                </w14:textFill>
              </w:rPr>
              <w:t>金台区创建陕西省智慧教育示范区建设项目</w:t>
            </w:r>
          </w:p>
        </w:tc>
        <w:tc>
          <w:tcPr>
            <w:tcW w:w="2040" w:type="pct"/>
            <w:shd w:val="clear" w:color="auto" w:fill="auto"/>
            <w:vAlign w:val="center"/>
          </w:tcPr>
          <w:p w14:paraId="1EC0EF6F">
            <w:pPr>
              <w:adjustRightInd w:val="0"/>
              <w:snapToGrid w:val="0"/>
              <w:spacing w:line="240" w:lineRule="exact"/>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建设全区68所中小学、幼儿园智慧课堂，校园安防监控、校园一键报警、打通学校之间的物理屏障，实现精品课程在线观摩，配备智慧黑板、平板电脑等设备；建设全区900个教室直播课堂、课堂智能分析等智课系统；全区民办学校、幼儿园接入教育专网，以智能身份识别、无线电干扰屏蔽、远程视频采集等为一体，建设4个标杆智能考场</w:t>
            </w:r>
          </w:p>
        </w:tc>
        <w:tc>
          <w:tcPr>
            <w:tcW w:w="460" w:type="pct"/>
            <w:shd w:val="clear" w:color="auto" w:fill="auto"/>
            <w:vAlign w:val="center"/>
          </w:tcPr>
          <w:p w14:paraId="3D5BE8A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金台区各校园</w:t>
            </w:r>
          </w:p>
        </w:tc>
        <w:tc>
          <w:tcPr>
            <w:tcW w:w="374" w:type="pct"/>
            <w:shd w:val="clear" w:color="auto" w:fill="auto"/>
            <w:vAlign w:val="center"/>
          </w:tcPr>
          <w:p w14:paraId="77994B34">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54E0DD7B">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77" w:type="pct"/>
            <w:shd w:val="clear" w:color="auto" w:fill="auto"/>
            <w:vAlign w:val="center"/>
          </w:tcPr>
          <w:p w14:paraId="40465CD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5</w:t>
            </w:r>
          </w:p>
        </w:tc>
        <w:tc>
          <w:tcPr>
            <w:tcW w:w="319" w:type="pct"/>
            <w:shd w:val="clear" w:color="auto" w:fill="auto"/>
            <w:vAlign w:val="center"/>
          </w:tcPr>
          <w:p w14:paraId="0F65459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309AABF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区教体局</w:t>
            </w:r>
          </w:p>
        </w:tc>
      </w:tr>
      <w:tr w14:paraId="56968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DC1861C">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（二）</w:t>
            </w:r>
          </w:p>
        </w:tc>
        <w:tc>
          <w:tcPr>
            <w:tcW w:w="490" w:type="pct"/>
            <w:shd w:val="clear" w:color="auto" w:fill="auto"/>
            <w:vAlign w:val="center"/>
          </w:tcPr>
          <w:p w14:paraId="4202615C">
            <w:pPr>
              <w:adjustRightInd w:val="0"/>
              <w:snapToGrid w:val="0"/>
              <w:jc w:val="center"/>
              <w:rPr>
                <w:rFonts w:ascii="楷体_GB2312" w:hAnsi="楷体_GB2312" w:eastAsia="楷体_GB2312" w:cs="楷体_GB2312"/>
                <w:b w:val="0"/>
                <w:bCs w:val="0"/>
                <w:color w:val="000000" w:themeColor="text1"/>
                <w:spacing w:val="-11"/>
                <w:kern w:val="0"/>
                <w:sz w:val="20"/>
                <w:szCs w:val="20"/>
                <w14:textFill>
                  <w14:solidFill>
                    <w14:schemeClr w14:val="tx1"/>
                  </w14:solidFill>
                </w14:textFill>
              </w:rPr>
            </w:pPr>
            <w:r>
              <w:rPr>
                <w:rFonts w:hint="eastAsia" w:ascii="楷体_GB2312" w:hAnsi="楷体_GB2312" w:eastAsia="楷体_GB2312" w:cs="楷体_GB2312"/>
                <w:b w:val="0"/>
                <w:bCs w:val="0"/>
                <w:color w:val="000000" w:themeColor="text1"/>
                <w:spacing w:val="-11"/>
                <w:kern w:val="0"/>
                <w:sz w:val="20"/>
                <w:szCs w:val="20"/>
                <w14:textFill>
                  <w14:solidFill>
                    <w14:schemeClr w14:val="tx1"/>
                  </w14:solidFill>
                </w14:textFill>
              </w:rPr>
              <w:t>创新创业平台（7）</w:t>
            </w:r>
          </w:p>
        </w:tc>
        <w:tc>
          <w:tcPr>
            <w:tcW w:w="2040" w:type="pct"/>
            <w:shd w:val="clear" w:color="auto" w:fill="auto"/>
            <w:vAlign w:val="center"/>
          </w:tcPr>
          <w:p w14:paraId="0E82D346">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460" w:type="pct"/>
            <w:shd w:val="clear" w:color="auto" w:fill="auto"/>
            <w:vAlign w:val="center"/>
          </w:tcPr>
          <w:p w14:paraId="700D918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74" w:type="pct"/>
            <w:shd w:val="clear" w:color="auto" w:fill="auto"/>
            <w:vAlign w:val="center"/>
          </w:tcPr>
          <w:p w14:paraId="6F894AF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21" w:type="pct"/>
            <w:shd w:val="clear" w:color="auto" w:fill="auto"/>
            <w:vAlign w:val="center"/>
          </w:tcPr>
          <w:p w14:paraId="359CF6A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77" w:type="pct"/>
            <w:shd w:val="clear" w:color="auto" w:fill="auto"/>
            <w:vAlign w:val="center"/>
          </w:tcPr>
          <w:p w14:paraId="5B7A6127">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26.3</w:t>
            </w:r>
          </w:p>
        </w:tc>
        <w:tc>
          <w:tcPr>
            <w:tcW w:w="319" w:type="pct"/>
            <w:shd w:val="clear" w:color="auto" w:fill="auto"/>
            <w:vAlign w:val="center"/>
          </w:tcPr>
          <w:p w14:paraId="6FE93C8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c>
          <w:tcPr>
            <w:tcW w:w="392" w:type="pct"/>
            <w:shd w:val="clear" w:color="auto" w:fill="auto"/>
            <w:vAlign w:val="center"/>
          </w:tcPr>
          <w:p w14:paraId="4A0A6AF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w:t>
            </w:r>
          </w:p>
        </w:tc>
      </w:tr>
      <w:tr w14:paraId="7E3F4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2BA89D9">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14</w:t>
            </w:r>
          </w:p>
        </w:tc>
        <w:tc>
          <w:tcPr>
            <w:tcW w:w="490" w:type="pct"/>
            <w:shd w:val="clear" w:color="auto" w:fill="auto"/>
            <w:vAlign w:val="center"/>
          </w:tcPr>
          <w:p w14:paraId="52D2A0A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金台区工业互联网平台</w:t>
            </w:r>
          </w:p>
        </w:tc>
        <w:tc>
          <w:tcPr>
            <w:tcW w:w="2040" w:type="pct"/>
            <w:shd w:val="clear" w:color="auto" w:fill="auto"/>
            <w:vAlign w:val="center"/>
          </w:tcPr>
          <w:p w14:paraId="340419C0">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占地10亩，建筑面积约3000平方米，依托大数据产业园，建设金台区工业互联网平台。主要深化工业互联网应用，推进企业上云，在有基础的工业企业开展工业互联网内网改造，项目涵盖了企业设计、制造、营销等主要产品创新流程所需要的各种工具和服务。通过互联网向广大用户提供产品创新的新型IT服务，主要包含了以下几个方面：云设计、云制造、云协同、云资源、云社区</w:t>
            </w:r>
          </w:p>
        </w:tc>
        <w:tc>
          <w:tcPr>
            <w:tcW w:w="460" w:type="pct"/>
            <w:shd w:val="clear" w:color="auto" w:fill="auto"/>
            <w:vAlign w:val="center"/>
          </w:tcPr>
          <w:p w14:paraId="3A9EF60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蟠龙新区</w:t>
            </w:r>
          </w:p>
        </w:tc>
        <w:tc>
          <w:tcPr>
            <w:tcW w:w="374" w:type="pct"/>
            <w:shd w:val="clear" w:color="auto" w:fill="auto"/>
            <w:vAlign w:val="center"/>
          </w:tcPr>
          <w:p w14:paraId="0CE2F820">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3FEC7F62">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77" w:type="pct"/>
            <w:shd w:val="clear" w:color="auto" w:fill="auto"/>
            <w:vAlign w:val="center"/>
          </w:tcPr>
          <w:p w14:paraId="00E0D418">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3.5</w:t>
            </w:r>
          </w:p>
        </w:tc>
        <w:tc>
          <w:tcPr>
            <w:tcW w:w="319" w:type="pct"/>
            <w:shd w:val="clear" w:color="auto" w:fill="auto"/>
            <w:vAlign w:val="center"/>
          </w:tcPr>
          <w:p w14:paraId="7CFFC7C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7A80DC71">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 区工信局</w:t>
            </w:r>
          </w:p>
        </w:tc>
      </w:tr>
      <w:tr w14:paraId="4C7A5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05" w:hRule="atLeast"/>
        </w:trPr>
        <w:tc>
          <w:tcPr>
            <w:tcW w:w="225" w:type="pct"/>
            <w:shd w:val="clear" w:color="auto" w:fill="auto"/>
            <w:vAlign w:val="center"/>
          </w:tcPr>
          <w:p w14:paraId="4A2B7A5F">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15</w:t>
            </w:r>
          </w:p>
        </w:tc>
        <w:tc>
          <w:tcPr>
            <w:tcW w:w="490" w:type="pct"/>
            <w:shd w:val="clear" w:color="auto" w:fill="auto"/>
            <w:vAlign w:val="center"/>
          </w:tcPr>
          <w:p w14:paraId="03965886">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金台区智慧社区项目</w:t>
            </w:r>
          </w:p>
        </w:tc>
        <w:tc>
          <w:tcPr>
            <w:tcW w:w="2040" w:type="pct"/>
            <w:shd w:val="clear" w:color="auto" w:fill="auto"/>
            <w:vAlign w:val="center"/>
          </w:tcPr>
          <w:p w14:paraId="0F4D911B">
            <w:pPr>
              <w:adjustRightInd w:val="0"/>
              <w:snapToGrid w:val="0"/>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通过建设统一的民政公共服务门户，实现民政全方位的政务公开，公开行政审批事项及其办理指南，提供申报表格下载、咨询投诉等服务。同时，发布审批动态、审批结果等信息，并提供审批进度查询及反馈功能。同时，实现与各直属单位民政网站资源的整合。整合民政综合业务管理平台的各种应用系统，面向街道、社区及各级直属单位、相关部门的人员提供统一的处理各类日常业务工作的统一平台和入口，方便居民及时查询个人相关业务</w:t>
            </w:r>
          </w:p>
        </w:tc>
        <w:tc>
          <w:tcPr>
            <w:tcW w:w="460" w:type="pct"/>
            <w:shd w:val="clear" w:color="auto" w:fill="auto"/>
            <w:vAlign w:val="center"/>
          </w:tcPr>
          <w:p w14:paraId="3887FB4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金台区</w:t>
            </w:r>
          </w:p>
        </w:tc>
        <w:tc>
          <w:tcPr>
            <w:tcW w:w="374" w:type="pct"/>
            <w:shd w:val="clear" w:color="auto" w:fill="auto"/>
            <w:vAlign w:val="center"/>
          </w:tcPr>
          <w:p w14:paraId="6BA610ED">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2021-2025</w:t>
            </w:r>
          </w:p>
        </w:tc>
        <w:tc>
          <w:tcPr>
            <w:tcW w:w="321" w:type="pct"/>
            <w:shd w:val="clear" w:color="auto" w:fill="auto"/>
            <w:vAlign w:val="center"/>
          </w:tcPr>
          <w:p w14:paraId="1C79988E">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77" w:type="pct"/>
            <w:shd w:val="clear" w:color="auto" w:fill="auto"/>
            <w:vAlign w:val="center"/>
          </w:tcPr>
          <w:p w14:paraId="27DBADD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0.30 </w:t>
            </w:r>
          </w:p>
        </w:tc>
        <w:tc>
          <w:tcPr>
            <w:tcW w:w="319" w:type="pct"/>
            <w:shd w:val="clear" w:color="auto" w:fill="auto"/>
            <w:vAlign w:val="center"/>
          </w:tcPr>
          <w:p w14:paraId="41473955">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地方自筹</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648B6913">
            <w:pPr>
              <w:adjustRightInd w:val="0"/>
              <w:snapToGrid w:val="0"/>
              <w:jc w:val="center"/>
              <w:rPr>
                <w:rFonts w:ascii="仿宋_GB2312" w:hAnsi="宋体" w:eastAsia="仿宋_GB2312" w:cs="宋体"/>
                <w:b w:val="0"/>
                <w:bCs w:val="0"/>
                <w:color w:val="000000" w:themeColor="text1"/>
                <w:kern w:val="0"/>
                <w:sz w:val="20"/>
                <w:szCs w:val="20"/>
                <w14:textFill>
                  <w14:solidFill>
                    <w14:schemeClr w14:val="tx1"/>
                  </w14:solidFill>
                </w14:textFill>
              </w:rPr>
            </w:pPr>
            <w:r>
              <w:rPr>
                <w:rFonts w:hint="eastAsia" w:ascii="仿宋_GB2312" w:hAnsi="宋体" w:eastAsia="仿宋_GB2312" w:cs="宋体"/>
                <w:b w:val="0"/>
                <w:bCs w:val="0"/>
                <w:color w:val="000000" w:themeColor="text1"/>
                <w:kern w:val="0"/>
                <w:sz w:val="20"/>
                <w:szCs w:val="20"/>
                <w14:textFill>
                  <w14:solidFill>
                    <w14:schemeClr w14:val="tx1"/>
                  </w14:solidFill>
                </w14:textFill>
              </w:rPr>
              <w:t xml:space="preserve">区民政局   </w:t>
            </w:r>
            <w:r>
              <w:rPr>
                <w:rFonts w:hint="eastAsia" w:ascii="仿宋_GB2312" w:hAnsi="宋体" w:eastAsia="仿宋_GB2312" w:cs="宋体"/>
                <w:b w:val="0"/>
                <w:bCs w:val="0"/>
                <w:color w:val="000000" w:themeColor="text1"/>
                <w:kern w:val="0"/>
                <w:sz w:val="20"/>
                <w:szCs w:val="20"/>
                <w14:textFill>
                  <w14:solidFill>
                    <w14:schemeClr w14:val="tx1"/>
                  </w14:solidFill>
                </w14:textFill>
              </w:rPr>
              <w:br w:type="textWrapping"/>
            </w:r>
            <w:r>
              <w:rPr>
                <w:rFonts w:hint="eastAsia" w:ascii="仿宋_GB2312" w:hAnsi="宋体" w:eastAsia="仿宋_GB2312" w:cs="宋体"/>
                <w:b w:val="0"/>
                <w:bCs w:val="0"/>
                <w:color w:val="000000" w:themeColor="text1"/>
                <w:spacing w:val="-20"/>
                <w:kern w:val="0"/>
                <w:sz w:val="20"/>
                <w:szCs w:val="20"/>
                <w14:textFill>
                  <w14:solidFill>
                    <w14:schemeClr w14:val="tx1"/>
                  </w14:solidFill>
                </w14:textFill>
              </w:rPr>
              <w:t xml:space="preserve"> 区数字化信息服务中心</w:t>
            </w:r>
          </w:p>
        </w:tc>
      </w:tr>
      <w:tr w14:paraId="648AF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5" w:hRule="atLeast"/>
        </w:trPr>
        <w:tc>
          <w:tcPr>
            <w:tcW w:w="225" w:type="pct"/>
            <w:shd w:val="clear" w:color="auto" w:fill="auto"/>
            <w:vAlign w:val="center"/>
          </w:tcPr>
          <w:p w14:paraId="30E1AF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490" w:type="pct"/>
            <w:shd w:val="clear" w:color="auto" w:fill="auto"/>
            <w:vAlign w:val="center"/>
          </w:tcPr>
          <w:p w14:paraId="71F057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国家油气钻采装备技术创新中心平台建设项目</w:t>
            </w:r>
          </w:p>
        </w:tc>
        <w:tc>
          <w:tcPr>
            <w:tcW w:w="2040" w:type="pct"/>
            <w:shd w:val="clear" w:color="auto" w:fill="auto"/>
            <w:vAlign w:val="center"/>
          </w:tcPr>
          <w:p w14:paraId="56BB89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面向国内油气钻采装备需求，以行业关键共性技术研发供给，由企业、科研院所等创新主体组合建设创新中心平台，满足国内油气田石油装备的研发和推广应用</w:t>
            </w:r>
          </w:p>
        </w:tc>
        <w:tc>
          <w:tcPr>
            <w:tcW w:w="460" w:type="pct"/>
            <w:shd w:val="clear" w:color="auto" w:fill="auto"/>
            <w:vAlign w:val="center"/>
          </w:tcPr>
          <w:p w14:paraId="7C8A44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009340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8EAFD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C1FED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0C94A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59E2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1AD4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5" w:hRule="atLeast"/>
        </w:trPr>
        <w:tc>
          <w:tcPr>
            <w:tcW w:w="225" w:type="pct"/>
            <w:shd w:val="clear" w:color="auto" w:fill="auto"/>
            <w:vAlign w:val="center"/>
          </w:tcPr>
          <w:p w14:paraId="344B78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w:t>
            </w:r>
          </w:p>
        </w:tc>
        <w:tc>
          <w:tcPr>
            <w:tcW w:w="490" w:type="pct"/>
            <w:shd w:val="clear" w:color="auto" w:fill="auto"/>
            <w:vAlign w:val="center"/>
          </w:tcPr>
          <w:p w14:paraId="7922E21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蟠龙新区BOPP包装新材料项目</w:t>
            </w:r>
          </w:p>
        </w:tc>
        <w:tc>
          <w:tcPr>
            <w:tcW w:w="2040" w:type="pct"/>
            <w:shd w:val="clear" w:color="auto" w:fill="auto"/>
            <w:vAlign w:val="center"/>
          </w:tcPr>
          <w:p w14:paraId="33FF54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占地350亩，主要建设两条BOPP预涂基膜生产线及其配套设备设施，年产高阻隔新型功能性薄膜14万吨（含预涂膜4万吨）；两条BOPP母料生产线，年产BOPP母料及</w:t>
            </w:r>
            <w:r>
              <w:rPr>
                <w:rFonts w:hint="eastAsia" w:ascii="仿宋_GB2312" w:hAnsi="宋体" w:eastAsia="仿宋_GB2312" w:cs="宋体"/>
                <w:kern w:val="0"/>
                <w:sz w:val="20"/>
                <w:szCs w:val="20"/>
                <w:lang w:eastAsia="zh-CN"/>
              </w:rPr>
              <w:t>其他添加剂</w:t>
            </w:r>
            <w:r>
              <w:rPr>
                <w:rFonts w:hint="eastAsia" w:ascii="仿宋_GB2312" w:hAnsi="宋体" w:eastAsia="仿宋_GB2312" w:cs="宋体"/>
                <w:kern w:val="0"/>
                <w:sz w:val="20"/>
                <w:szCs w:val="20"/>
              </w:rPr>
              <w:t>4000吨；一条纸管生产线，年产纸管200万米</w:t>
            </w:r>
          </w:p>
        </w:tc>
        <w:tc>
          <w:tcPr>
            <w:tcW w:w="460" w:type="pct"/>
            <w:shd w:val="clear" w:color="auto" w:fill="auto"/>
            <w:vAlign w:val="center"/>
          </w:tcPr>
          <w:p w14:paraId="1D6A3C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C0C63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D24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B0B61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212D85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4DE68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p>
        </w:tc>
      </w:tr>
      <w:tr w14:paraId="69EB0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017A3F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490" w:type="pct"/>
            <w:shd w:val="clear" w:color="auto" w:fill="auto"/>
            <w:vAlign w:val="center"/>
          </w:tcPr>
          <w:p w14:paraId="51246BD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蟠龙新区创新创业中心及配套基础设施项目</w:t>
            </w:r>
          </w:p>
        </w:tc>
        <w:tc>
          <w:tcPr>
            <w:tcW w:w="2040" w:type="pct"/>
            <w:shd w:val="clear" w:color="auto" w:fill="auto"/>
            <w:vAlign w:val="center"/>
          </w:tcPr>
          <w:p w14:paraId="06BDE0E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总建筑面积2.3万平方米，建设创新创业中心综合楼一栋，配套建设供排水、电气、暖通、消防及弱电等基础设施</w:t>
            </w:r>
          </w:p>
        </w:tc>
        <w:tc>
          <w:tcPr>
            <w:tcW w:w="460" w:type="pct"/>
            <w:shd w:val="clear" w:color="auto" w:fill="auto"/>
            <w:vAlign w:val="center"/>
          </w:tcPr>
          <w:p w14:paraId="514C37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CC0DA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6AFDA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6EF750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309226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F8A6B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6D767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77" w:hRule="atLeast"/>
        </w:trPr>
        <w:tc>
          <w:tcPr>
            <w:tcW w:w="225" w:type="pct"/>
            <w:shd w:val="clear" w:color="auto" w:fill="auto"/>
            <w:vAlign w:val="center"/>
          </w:tcPr>
          <w:p w14:paraId="68434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w:t>
            </w:r>
          </w:p>
        </w:tc>
        <w:tc>
          <w:tcPr>
            <w:tcW w:w="490" w:type="pct"/>
            <w:shd w:val="clear" w:color="auto" w:fill="auto"/>
            <w:vAlign w:val="center"/>
          </w:tcPr>
          <w:p w14:paraId="1E5135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蟠龙新区智能网联汽车示范区项目</w:t>
            </w:r>
          </w:p>
        </w:tc>
        <w:tc>
          <w:tcPr>
            <w:tcW w:w="2040" w:type="pct"/>
            <w:shd w:val="clear" w:color="auto" w:fill="auto"/>
            <w:vAlign w:val="center"/>
          </w:tcPr>
          <w:p w14:paraId="1C10CF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提升龙腾路、龙翔大道、西坪大道、蟠龙大道、龙源大道、旭东路、西营路等</w:t>
            </w:r>
            <w:r>
              <w:rPr>
                <w:rFonts w:ascii="仿宋_GB2312" w:hAnsi="宋体" w:eastAsia="仿宋_GB2312" w:cs="宋体"/>
                <w:kern w:val="0"/>
                <w:sz w:val="20"/>
                <w:szCs w:val="20"/>
              </w:rPr>
              <w:t>35公里市政道路地面地磁检测及路测设备单元等感知系统改造；5G信号基站及配套设施建设；搭建大数据平台；在重点路段、产业园及公园等场景，实现智慧环卫车、无人公交小巴及智慧物流配送车覆盖等</w:t>
            </w:r>
          </w:p>
        </w:tc>
        <w:tc>
          <w:tcPr>
            <w:tcW w:w="460" w:type="pct"/>
            <w:shd w:val="clear" w:color="auto" w:fill="auto"/>
            <w:vAlign w:val="center"/>
          </w:tcPr>
          <w:p w14:paraId="088C8B6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蟠龙新区</w:t>
            </w:r>
          </w:p>
        </w:tc>
        <w:tc>
          <w:tcPr>
            <w:tcW w:w="374" w:type="pct"/>
            <w:shd w:val="clear" w:color="auto" w:fill="auto"/>
            <w:vAlign w:val="center"/>
          </w:tcPr>
          <w:p w14:paraId="71C0E6F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2021-2022</w:t>
            </w:r>
          </w:p>
        </w:tc>
        <w:tc>
          <w:tcPr>
            <w:tcW w:w="321" w:type="pct"/>
            <w:shd w:val="clear" w:color="auto" w:fill="auto"/>
            <w:vAlign w:val="center"/>
          </w:tcPr>
          <w:p w14:paraId="30B4021C">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77" w:type="pct"/>
            <w:shd w:val="clear" w:color="auto" w:fill="auto"/>
            <w:vAlign w:val="center"/>
          </w:tcPr>
          <w:p w14:paraId="1D347390">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w:t>
            </w:r>
          </w:p>
        </w:tc>
        <w:tc>
          <w:tcPr>
            <w:tcW w:w="319" w:type="pct"/>
            <w:shd w:val="clear" w:color="auto" w:fill="auto"/>
            <w:vAlign w:val="center"/>
          </w:tcPr>
          <w:p w14:paraId="16D0ED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p w14:paraId="1FABB3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p>
        </w:tc>
        <w:tc>
          <w:tcPr>
            <w:tcW w:w="392" w:type="pct"/>
            <w:shd w:val="clear" w:color="auto" w:fill="auto"/>
            <w:vAlign w:val="center"/>
          </w:tcPr>
          <w:p w14:paraId="7C8956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0387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36" w:hRule="atLeast"/>
        </w:trPr>
        <w:tc>
          <w:tcPr>
            <w:tcW w:w="225" w:type="pct"/>
            <w:shd w:val="clear" w:color="auto" w:fill="auto"/>
            <w:vAlign w:val="center"/>
          </w:tcPr>
          <w:p w14:paraId="263B3A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490" w:type="pct"/>
            <w:shd w:val="clear" w:color="auto" w:fill="auto"/>
            <w:vAlign w:val="center"/>
          </w:tcPr>
          <w:p w14:paraId="516606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蟠龙新区科技创新中心项目</w:t>
            </w:r>
          </w:p>
        </w:tc>
        <w:tc>
          <w:tcPr>
            <w:tcW w:w="2040" w:type="pct"/>
            <w:shd w:val="clear" w:color="auto" w:fill="auto"/>
            <w:vAlign w:val="center"/>
          </w:tcPr>
          <w:p w14:paraId="74429D6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智慧化展厅、科技大市场、创业孵化器、智能化咨询及新科技体验等功能。通过政府投入建设市场，向中介机构购买服务，逐步向市场化过渡的运营模式，集聚创新资源，打造蟠龙高新区区域创新中心成为驱动宝鸡城市，工业，交通、农业，教育智能化转型升级的发源地</w:t>
            </w:r>
          </w:p>
        </w:tc>
        <w:tc>
          <w:tcPr>
            <w:tcW w:w="460" w:type="pct"/>
            <w:shd w:val="clear" w:color="auto" w:fill="auto"/>
            <w:vAlign w:val="center"/>
          </w:tcPr>
          <w:p w14:paraId="65926E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4E978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5C369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2A7C1D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6D0777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293DD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26CB6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34" w:hRule="atLeast"/>
        </w:trPr>
        <w:tc>
          <w:tcPr>
            <w:tcW w:w="2756" w:type="pct"/>
            <w:gridSpan w:val="3"/>
            <w:shd w:val="clear" w:color="auto" w:fill="auto"/>
            <w:vAlign w:val="center"/>
          </w:tcPr>
          <w:p w14:paraId="635AD532">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二、制造业高质量发展项目（17个）</w:t>
            </w:r>
          </w:p>
        </w:tc>
        <w:tc>
          <w:tcPr>
            <w:tcW w:w="460" w:type="pct"/>
            <w:shd w:val="clear" w:color="auto" w:fill="auto"/>
            <w:vAlign w:val="center"/>
          </w:tcPr>
          <w:p w14:paraId="5E05DFF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5681B5A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70AD0BC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77" w:type="pct"/>
            <w:shd w:val="clear" w:color="auto" w:fill="auto"/>
            <w:vAlign w:val="center"/>
          </w:tcPr>
          <w:p w14:paraId="4C5D248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70.31</w:t>
            </w:r>
          </w:p>
        </w:tc>
        <w:tc>
          <w:tcPr>
            <w:tcW w:w="319" w:type="pct"/>
            <w:shd w:val="clear" w:color="auto" w:fill="auto"/>
            <w:vAlign w:val="center"/>
          </w:tcPr>
          <w:p w14:paraId="368A2C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BD05FD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27FC9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996003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7488FBE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智能制造（12）</w:t>
            </w:r>
          </w:p>
        </w:tc>
        <w:tc>
          <w:tcPr>
            <w:tcW w:w="2040" w:type="pct"/>
            <w:shd w:val="clear" w:color="auto" w:fill="auto"/>
            <w:vAlign w:val="center"/>
          </w:tcPr>
          <w:p w14:paraId="3A2FC55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7487AB2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5E2BA3E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1E7FC8A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77" w:type="pct"/>
            <w:shd w:val="clear" w:color="auto" w:fill="auto"/>
            <w:vAlign w:val="center"/>
          </w:tcPr>
          <w:p w14:paraId="6728485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63.31</w:t>
            </w:r>
          </w:p>
        </w:tc>
        <w:tc>
          <w:tcPr>
            <w:tcW w:w="319" w:type="pct"/>
            <w:shd w:val="clear" w:color="auto" w:fill="auto"/>
            <w:vAlign w:val="center"/>
          </w:tcPr>
          <w:p w14:paraId="577AF7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C503EC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5AD0A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1B12FE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490" w:type="pct"/>
            <w:shd w:val="clear" w:color="auto" w:fill="auto"/>
            <w:vAlign w:val="center"/>
          </w:tcPr>
          <w:p w14:paraId="23DB87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金属表面处理产业园项目</w:t>
            </w:r>
          </w:p>
        </w:tc>
        <w:tc>
          <w:tcPr>
            <w:tcW w:w="2040" w:type="pct"/>
            <w:shd w:val="clear" w:color="auto" w:fill="auto"/>
            <w:vAlign w:val="center"/>
          </w:tcPr>
          <w:p w14:paraId="774590F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一期占地约300亩，建设环保设施、定制厂房、自动化全封闭的生产线；二期建设通用厂房、仓储物流、生活配套等</w:t>
            </w:r>
          </w:p>
        </w:tc>
        <w:tc>
          <w:tcPr>
            <w:tcW w:w="460" w:type="pct"/>
            <w:shd w:val="clear" w:color="auto" w:fill="auto"/>
            <w:vAlign w:val="center"/>
          </w:tcPr>
          <w:p w14:paraId="0473A3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D9A8A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9BF71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D1520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5C297B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1C50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6841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7755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490" w:type="pct"/>
            <w:shd w:val="clear" w:color="auto" w:fill="auto"/>
            <w:vAlign w:val="center"/>
          </w:tcPr>
          <w:p w14:paraId="5BEB44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金台区高密度钨合金生产加工项目</w:t>
            </w:r>
          </w:p>
        </w:tc>
        <w:tc>
          <w:tcPr>
            <w:tcW w:w="2040" w:type="pct"/>
            <w:shd w:val="clear" w:color="auto" w:fill="auto"/>
            <w:vAlign w:val="center"/>
          </w:tcPr>
          <w:p w14:paraId="190F8A1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占地50亩，建设钨合金生产线4条，年产量达20万发</w:t>
            </w:r>
          </w:p>
        </w:tc>
        <w:tc>
          <w:tcPr>
            <w:tcW w:w="460" w:type="pct"/>
            <w:shd w:val="clear" w:color="auto" w:fill="auto"/>
            <w:vAlign w:val="center"/>
          </w:tcPr>
          <w:p w14:paraId="03B540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D1E09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D9496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79BBF0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0E689C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48BB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E108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92" w:hRule="atLeast"/>
        </w:trPr>
        <w:tc>
          <w:tcPr>
            <w:tcW w:w="225" w:type="pct"/>
            <w:shd w:val="clear" w:color="auto" w:fill="auto"/>
            <w:vAlign w:val="center"/>
          </w:tcPr>
          <w:p w14:paraId="3F2AEC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w:t>
            </w:r>
          </w:p>
        </w:tc>
        <w:tc>
          <w:tcPr>
            <w:tcW w:w="490" w:type="pct"/>
            <w:shd w:val="clear" w:color="auto" w:fill="auto"/>
            <w:vAlign w:val="center"/>
          </w:tcPr>
          <w:p w14:paraId="131EAA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宝鸡轨道交通配套产业园项目</w:t>
            </w:r>
          </w:p>
        </w:tc>
        <w:tc>
          <w:tcPr>
            <w:tcW w:w="2040" w:type="pct"/>
            <w:shd w:val="clear" w:color="auto" w:fill="auto"/>
            <w:vAlign w:val="center"/>
          </w:tcPr>
          <w:p w14:paraId="02014B0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115亩，计划建设铁路线14条、工作台位112个、生产车间23660平方米，改造办公楼2800平方米。配套建设研发实验室、员工培训中心。项目建成后，年产机车358台，年总产值15亿元，就业人数500余人，形成集铁路机车车辆研发制造为主、检修为辅、入园企业为一体的轨道交通配套产业园</w:t>
            </w:r>
          </w:p>
        </w:tc>
        <w:tc>
          <w:tcPr>
            <w:tcW w:w="460" w:type="pct"/>
            <w:shd w:val="clear" w:color="auto" w:fill="auto"/>
            <w:vAlign w:val="center"/>
          </w:tcPr>
          <w:p w14:paraId="582EEB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4DDF97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6A046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77" w:type="pct"/>
            <w:shd w:val="clear" w:color="auto" w:fill="auto"/>
            <w:vAlign w:val="center"/>
          </w:tcPr>
          <w:p w14:paraId="6158F8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319" w:type="pct"/>
            <w:shd w:val="clear" w:color="auto" w:fill="auto"/>
            <w:vAlign w:val="center"/>
          </w:tcPr>
          <w:p w14:paraId="5EE7A2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C1714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24E2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71" w:hRule="atLeast"/>
        </w:trPr>
        <w:tc>
          <w:tcPr>
            <w:tcW w:w="225" w:type="pct"/>
            <w:shd w:val="clear" w:color="auto" w:fill="auto"/>
            <w:vAlign w:val="center"/>
          </w:tcPr>
          <w:p w14:paraId="5D302D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w:t>
            </w:r>
          </w:p>
        </w:tc>
        <w:tc>
          <w:tcPr>
            <w:tcW w:w="490" w:type="pct"/>
            <w:shd w:val="clear" w:color="auto" w:fill="auto"/>
            <w:vAlign w:val="center"/>
          </w:tcPr>
          <w:p w14:paraId="7F38C7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金台区自备铁路货车厂修整车抛丸除锈及配套线路技术改造升级项目</w:t>
            </w:r>
          </w:p>
        </w:tc>
        <w:tc>
          <w:tcPr>
            <w:tcW w:w="2040" w:type="pct"/>
            <w:shd w:val="clear" w:color="auto" w:fill="auto"/>
            <w:vAlign w:val="center"/>
          </w:tcPr>
          <w:p w14:paraId="139E94C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新征地20亩，对5条铁路专用线、抛丸除锈车间、喷漆车间、标准化车间、配电楼、会议室、机车检修库等设施进行技术改造，并增加环保设施</w:t>
            </w:r>
          </w:p>
        </w:tc>
        <w:tc>
          <w:tcPr>
            <w:tcW w:w="460" w:type="pct"/>
            <w:shd w:val="clear" w:color="auto" w:fill="auto"/>
            <w:vAlign w:val="center"/>
          </w:tcPr>
          <w:p w14:paraId="43F11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金台区金台大道</w:t>
            </w:r>
          </w:p>
        </w:tc>
        <w:tc>
          <w:tcPr>
            <w:tcW w:w="374" w:type="pct"/>
            <w:shd w:val="clear" w:color="auto" w:fill="auto"/>
            <w:vAlign w:val="center"/>
          </w:tcPr>
          <w:p w14:paraId="41012F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27A8B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12ADC8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508FF0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8BB6D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5ED5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32A42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490" w:type="pct"/>
            <w:shd w:val="clear" w:color="auto" w:fill="auto"/>
            <w:vAlign w:val="center"/>
          </w:tcPr>
          <w:p w14:paraId="36C3FA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金台区煤矿液压设备制造及维修生产线建设项目</w:t>
            </w:r>
          </w:p>
        </w:tc>
        <w:tc>
          <w:tcPr>
            <w:tcW w:w="2040" w:type="pct"/>
            <w:shd w:val="clear" w:color="auto" w:fill="auto"/>
            <w:vAlign w:val="center"/>
          </w:tcPr>
          <w:p w14:paraId="20D390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总用地30亩，建设钢结构生产车间3跨，分机械，液压，电器维修三大车间，共计1万平方米，修建办公楼（含宿舍及餐厅）3层2000平方米。购置高速激光熔覆设备、矿用高压电器检测检修设备等</w:t>
            </w:r>
          </w:p>
        </w:tc>
        <w:tc>
          <w:tcPr>
            <w:tcW w:w="460" w:type="pct"/>
            <w:shd w:val="clear" w:color="auto" w:fill="auto"/>
            <w:vAlign w:val="center"/>
          </w:tcPr>
          <w:p w14:paraId="7250A6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F9A6E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2FBC9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F4552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1E271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3DA16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5D3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64528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490" w:type="pct"/>
            <w:shd w:val="clear" w:color="auto" w:fill="auto"/>
            <w:vAlign w:val="center"/>
          </w:tcPr>
          <w:p w14:paraId="3B2BC6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金台区拖挂式系留无人机综合应急救援平台建设项目 </w:t>
            </w:r>
          </w:p>
        </w:tc>
        <w:tc>
          <w:tcPr>
            <w:tcW w:w="2040" w:type="pct"/>
            <w:shd w:val="clear" w:color="auto" w:fill="auto"/>
            <w:vAlign w:val="center"/>
          </w:tcPr>
          <w:p w14:paraId="321FB76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新建1000平方米厂房，3000平方米试飞基地，研发以钛合金为原料的高净载荷比的钛合金无人机机架，建设拖挂式系留无人机综合应急救援平台，开展多功能应急救援系统研发与生产</w:t>
            </w:r>
          </w:p>
        </w:tc>
        <w:tc>
          <w:tcPr>
            <w:tcW w:w="460" w:type="pct"/>
            <w:shd w:val="clear" w:color="auto" w:fill="auto"/>
            <w:vAlign w:val="center"/>
          </w:tcPr>
          <w:p w14:paraId="75D364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3A873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63A05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25FA4E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464C4D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2228F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7627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75EAA5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w:t>
            </w:r>
          </w:p>
        </w:tc>
        <w:tc>
          <w:tcPr>
            <w:tcW w:w="490" w:type="pct"/>
            <w:shd w:val="clear" w:color="auto" w:fill="auto"/>
            <w:vAlign w:val="center"/>
          </w:tcPr>
          <w:p w14:paraId="4F4687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金台区深海石油钻探设备研发项目</w:t>
            </w:r>
          </w:p>
        </w:tc>
        <w:tc>
          <w:tcPr>
            <w:tcW w:w="2040" w:type="pct"/>
            <w:shd w:val="clear" w:color="auto" w:fill="auto"/>
            <w:vAlign w:val="center"/>
          </w:tcPr>
          <w:p w14:paraId="02D9205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项目位于石油厂区，以深海钻井平台、钻机、平台设备补偿系统、安全防护及监测系统等技术专利、技术研发为依托，建设科研成果产业转化基地</w:t>
            </w:r>
          </w:p>
        </w:tc>
        <w:tc>
          <w:tcPr>
            <w:tcW w:w="460" w:type="pct"/>
            <w:shd w:val="clear" w:color="auto" w:fill="auto"/>
            <w:vAlign w:val="center"/>
          </w:tcPr>
          <w:p w14:paraId="38329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31EE5B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9A5B6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765541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73D20A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61CB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5D1BB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55C820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490" w:type="pct"/>
            <w:shd w:val="clear" w:color="auto" w:fill="auto"/>
            <w:vAlign w:val="center"/>
          </w:tcPr>
          <w:p w14:paraId="0384DD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金台区智能钻机制造焊接自动化产线项目</w:t>
            </w:r>
          </w:p>
        </w:tc>
        <w:tc>
          <w:tcPr>
            <w:tcW w:w="2040" w:type="pct"/>
            <w:shd w:val="clear" w:color="auto" w:fill="auto"/>
            <w:vAlign w:val="center"/>
          </w:tcPr>
          <w:p w14:paraId="0E281E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占地面积1500平方米，主要建设内容包括拟对钻机主要钢结构件采用自动化生产线进行焊接，通过购置焊接机器人及软件、产线信息系统，实现全过程自动焊接和检验</w:t>
            </w:r>
          </w:p>
        </w:tc>
        <w:tc>
          <w:tcPr>
            <w:tcW w:w="460" w:type="pct"/>
            <w:shd w:val="clear" w:color="auto" w:fill="auto"/>
            <w:vAlign w:val="center"/>
          </w:tcPr>
          <w:p w14:paraId="6D1D85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金台区东风路2号</w:t>
            </w:r>
          </w:p>
        </w:tc>
        <w:tc>
          <w:tcPr>
            <w:tcW w:w="374" w:type="pct"/>
            <w:shd w:val="clear" w:color="auto" w:fill="auto"/>
            <w:vAlign w:val="center"/>
          </w:tcPr>
          <w:p w14:paraId="3F867D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8C957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C2464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7BAE4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3F6B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73BCE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24" w:hRule="atLeast"/>
        </w:trPr>
        <w:tc>
          <w:tcPr>
            <w:tcW w:w="225" w:type="pct"/>
            <w:shd w:val="clear" w:color="auto" w:fill="auto"/>
            <w:vAlign w:val="center"/>
          </w:tcPr>
          <w:p w14:paraId="3F2331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w:t>
            </w:r>
          </w:p>
        </w:tc>
        <w:tc>
          <w:tcPr>
            <w:tcW w:w="490" w:type="pct"/>
            <w:shd w:val="clear" w:color="auto" w:fill="auto"/>
            <w:vAlign w:val="center"/>
          </w:tcPr>
          <w:p w14:paraId="0595FA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金河工业走廊项目</w:t>
            </w:r>
          </w:p>
        </w:tc>
        <w:tc>
          <w:tcPr>
            <w:tcW w:w="2040" w:type="pct"/>
            <w:shd w:val="clear" w:color="auto" w:fill="auto"/>
            <w:vAlign w:val="center"/>
          </w:tcPr>
          <w:p w14:paraId="5521A8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调整扩大园区发展空间，拉大骨架，依托省道改扩建，改造提升园区内外路网，在园区形成纵横道路及交通环线；建设特色产业园、研发中心、标准化厂房、配套服务，突出打造五大产业板块；对北核心区附近500户居民实施，集中安置；全面提升沿线基础设施，促进镇园村融合发展</w:t>
            </w:r>
          </w:p>
        </w:tc>
        <w:tc>
          <w:tcPr>
            <w:tcW w:w="460" w:type="pct"/>
            <w:shd w:val="clear" w:color="auto" w:fill="auto"/>
            <w:vAlign w:val="center"/>
          </w:tcPr>
          <w:p w14:paraId="3C21C2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036C5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F88C5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10ABC1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41D9A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4D7C9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F397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87E64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490" w:type="pct"/>
            <w:shd w:val="clear" w:color="auto" w:fill="auto"/>
            <w:vAlign w:val="center"/>
          </w:tcPr>
          <w:p w14:paraId="0E4C7C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味司农智能设备生产线建设项目</w:t>
            </w:r>
          </w:p>
        </w:tc>
        <w:tc>
          <w:tcPr>
            <w:tcW w:w="2040" w:type="pct"/>
            <w:shd w:val="clear" w:color="auto" w:fill="auto"/>
            <w:vAlign w:val="center"/>
          </w:tcPr>
          <w:p w14:paraId="6C285A8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租赁改造标准化厂房1904平方米，购置数控加工中心、自动化操作平台等设备6台，建设智能售餐设备生产线1条</w:t>
            </w:r>
          </w:p>
        </w:tc>
        <w:tc>
          <w:tcPr>
            <w:tcW w:w="460" w:type="pct"/>
            <w:shd w:val="clear" w:color="auto" w:fill="auto"/>
            <w:vAlign w:val="center"/>
          </w:tcPr>
          <w:p w14:paraId="3EBA72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蟠龙高新区龙源工业园</w:t>
            </w:r>
          </w:p>
        </w:tc>
        <w:tc>
          <w:tcPr>
            <w:tcW w:w="374" w:type="pct"/>
            <w:shd w:val="clear" w:color="auto" w:fill="auto"/>
            <w:vAlign w:val="center"/>
          </w:tcPr>
          <w:p w14:paraId="6EAED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731955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77" w:type="pct"/>
            <w:shd w:val="clear" w:color="auto" w:fill="auto"/>
            <w:vAlign w:val="center"/>
          </w:tcPr>
          <w:p w14:paraId="4B9BF7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0.11</w:t>
            </w:r>
          </w:p>
        </w:tc>
        <w:tc>
          <w:tcPr>
            <w:tcW w:w="319" w:type="pct"/>
            <w:shd w:val="clear" w:color="auto" w:fill="auto"/>
            <w:vAlign w:val="center"/>
          </w:tcPr>
          <w:p w14:paraId="04E6FC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60CD8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DF06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5AF67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w:t>
            </w:r>
          </w:p>
        </w:tc>
        <w:tc>
          <w:tcPr>
            <w:tcW w:w="490" w:type="pct"/>
            <w:shd w:val="clear" w:color="auto" w:fill="auto"/>
            <w:vAlign w:val="center"/>
          </w:tcPr>
          <w:p w14:paraId="0F5B0D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蟠龙新区龙源工业园标准化厂房</w:t>
            </w:r>
          </w:p>
        </w:tc>
        <w:tc>
          <w:tcPr>
            <w:tcW w:w="2040" w:type="pct"/>
            <w:shd w:val="clear" w:color="auto" w:fill="auto"/>
            <w:vAlign w:val="center"/>
          </w:tcPr>
          <w:p w14:paraId="17ABC75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占地面积335亩，总建筑面积17.13万平方米，计划引进装备制造、新材料、文化旅游等相关产业10户以上</w:t>
            </w:r>
          </w:p>
        </w:tc>
        <w:tc>
          <w:tcPr>
            <w:tcW w:w="460" w:type="pct"/>
            <w:shd w:val="clear" w:color="auto" w:fill="auto"/>
            <w:vAlign w:val="center"/>
          </w:tcPr>
          <w:p w14:paraId="2122FB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650E5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1B7F4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620EB6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0918DB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1A32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p>
        </w:tc>
      </w:tr>
      <w:tr w14:paraId="721B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3571C5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w:t>
            </w:r>
          </w:p>
        </w:tc>
        <w:tc>
          <w:tcPr>
            <w:tcW w:w="490" w:type="pct"/>
            <w:shd w:val="clear" w:color="auto" w:fill="auto"/>
            <w:vAlign w:val="center"/>
          </w:tcPr>
          <w:p w14:paraId="14BEAC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蟠龙新区高端装备制造产业园</w:t>
            </w:r>
          </w:p>
        </w:tc>
        <w:tc>
          <w:tcPr>
            <w:tcW w:w="2040" w:type="pct"/>
            <w:shd w:val="clear" w:color="auto" w:fill="auto"/>
            <w:vAlign w:val="center"/>
          </w:tcPr>
          <w:p w14:paraId="53E2AF6E">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占地150亩，计划引进电梯、石油装备、机械加工等高端装备制造类企业；引进新能源装备(光伏装备、光热装备、风能装备和绿色照明装备)研发制造企业，打造西部地区重要的新能源装备成套供应基地</w:t>
            </w:r>
          </w:p>
        </w:tc>
        <w:tc>
          <w:tcPr>
            <w:tcW w:w="460" w:type="pct"/>
            <w:shd w:val="clear" w:color="auto" w:fill="auto"/>
            <w:vAlign w:val="center"/>
          </w:tcPr>
          <w:p w14:paraId="413FCF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729D0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67E63B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51D6D2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2CB1C6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5FEA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区工信局    </w:t>
            </w:r>
          </w:p>
        </w:tc>
      </w:tr>
      <w:tr w14:paraId="11010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C2ACA9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0192876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电子信息（1）</w:t>
            </w:r>
          </w:p>
        </w:tc>
        <w:tc>
          <w:tcPr>
            <w:tcW w:w="2040" w:type="pct"/>
            <w:shd w:val="clear" w:color="auto" w:fill="auto"/>
            <w:vAlign w:val="center"/>
          </w:tcPr>
          <w:p w14:paraId="346B02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25EEDB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F7FD5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A0D8A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292689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1CD96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C8E01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8EF4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21F58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490" w:type="pct"/>
            <w:shd w:val="clear" w:color="auto" w:fill="auto"/>
            <w:vAlign w:val="center"/>
          </w:tcPr>
          <w:p w14:paraId="3E1C78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金台区智能传感器产业园</w:t>
            </w:r>
          </w:p>
        </w:tc>
        <w:tc>
          <w:tcPr>
            <w:tcW w:w="2040" w:type="pct"/>
            <w:shd w:val="clear" w:color="auto" w:fill="auto"/>
            <w:vAlign w:val="center"/>
          </w:tcPr>
          <w:p w14:paraId="4F3537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占地80亩，吸引带动一批传感器领域优质企业集聚，促进形成具有更强创新力、更高附加值的智能传感器全产业链条</w:t>
            </w:r>
          </w:p>
        </w:tc>
        <w:tc>
          <w:tcPr>
            <w:tcW w:w="460" w:type="pct"/>
            <w:shd w:val="clear" w:color="auto" w:fill="auto"/>
            <w:vAlign w:val="center"/>
          </w:tcPr>
          <w:p w14:paraId="5984D5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6C62E0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4C55C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AB16F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6273E6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B0D9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p>
          <w:p w14:paraId="4B95A1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2BF6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CCBBAD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05C9453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汽车及零部件（4）</w:t>
            </w:r>
          </w:p>
        </w:tc>
        <w:tc>
          <w:tcPr>
            <w:tcW w:w="2040" w:type="pct"/>
            <w:shd w:val="clear" w:color="auto" w:fill="auto"/>
            <w:vAlign w:val="center"/>
          </w:tcPr>
          <w:p w14:paraId="4CED08A7">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FAE6DB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195E89E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2C3A912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77" w:type="pct"/>
            <w:shd w:val="clear" w:color="auto" w:fill="auto"/>
            <w:vAlign w:val="center"/>
          </w:tcPr>
          <w:p w14:paraId="3395A7D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5.5</w:t>
            </w:r>
          </w:p>
        </w:tc>
        <w:tc>
          <w:tcPr>
            <w:tcW w:w="319" w:type="pct"/>
            <w:shd w:val="clear" w:color="auto" w:fill="auto"/>
            <w:vAlign w:val="center"/>
          </w:tcPr>
          <w:p w14:paraId="183AA3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90DC78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1E07B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A51CC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w:t>
            </w:r>
          </w:p>
        </w:tc>
        <w:tc>
          <w:tcPr>
            <w:tcW w:w="490" w:type="pct"/>
            <w:shd w:val="clear" w:color="auto" w:fill="auto"/>
            <w:vAlign w:val="center"/>
          </w:tcPr>
          <w:p w14:paraId="1C6F9F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金台区叉车产业园</w:t>
            </w:r>
          </w:p>
        </w:tc>
        <w:tc>
          <w:tcPr>
            <w:tcW w:w="2040" w:type="pct"/>
            <w:shd w:val="clear" w:color="auto" w:fill="auto"/>
            <w:vAlign w:val="center"/>
          </w:tcPr>
          <w:p w14:paraId="181F8A4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征地80亩，建筑面积2.7万平方米，新建厂房，宝鸡杭叉公司整体搬迁</w:t>
            </w:r>
          </w:p>
        </w:tc>
        <w:tc>
          <w:tcPr>
            <w:tcW w:w="460" w:type="pct"/>
            <w:shd w:val="clear" w:color="auto" w:fill="auto"/>
            <w:vAlign w:val="center"/>
          </w:tcPr>
          <w:p w14:paraId="614E8C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6881E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E842C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29CBB1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0E10F2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E1957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0C6D2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E969D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w:t>
            </w:r>
          </w:p>
        </w:tc>
        <w:tc>
          <w:tcPr>
            <w:tcW w:w="490" w:type="pct"/>
            <w:shd w:val="clear" w:color="auto" w:fill="auto"/>
            <w:vAlign w:val="center"/>
          </w:tcPr>
          <w:p w14:paraId="612C4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金台区新能源叉车及智能化提升智能化改造项目</w:t>
            </w:r>
          </w:p>
        </w:tc>
        <w:tc>
          <w:tcPr>
            <w:tcW w:w="2040" w:type="pct"/>
            <w:shd w:val="clear" w:color="auto" w:fill="auto"/>
            <w:vAlign w:val="center"/>
          </w:tcPr>
          <w:p w14:paraId="3A494DD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项目建成后新增工业车辆11000台/年的规模，购置焊接机器人工作站，增加焊接生产线；更新机加工机床为加工中心，对瓶颈工序进行填平补齐，实现水性漆机器人自动喷涂</w:t>
            </w:r>
          </w:p>
        </w:tc>
        <w:tc>
          <w:tcPr>
            <w:tcW w:w="460" w:type="pct"/>
            <w:shd w:val="clear" w:color="auto" w:fill="auto"/>
            <w:vAlign w:val="center"/>
          </w:tcPr>
          <w:p w14:paraId="2F294F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金台区福临堡</w:t>
            </w:r>
          </w:p>
        </w:tc>
        <w:tc>
          <w:tcPr>
            <w:tcW w:w="374" w:type="pct"/>
            <w:shd w:val="clear" w:color="auto" w:fill="auto"/>
            <w:vAlign w:val="center"/>
          </w:tcPr>
          <w:p w14:paraId="3C98EC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E42A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77" w:type="pct"/>
            <w:shd w:val="clear" w:color="auto" w:fill="auto"/>
            <w:vAlign w:val="center"/>
          </w:tcPr>
          <w:p w14:paraId="237DEE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319" w:type="pct"/>
            <w:shd w:val="clear" w:color="auto" w:fill="auto"/>
            <w:vAlign w:val="center"/>
          </w:tcPr>
          <w:p w14:paraId="17EDC5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BD29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7DDFB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8" w:hRule="atLeast"/>
        </w:trPr>
        <w:tc>
          <w:tcPr>
            <w:tcW w:w="225" w:type="pct"/>
            <w:shd w:val="clear" w:color="auto" w:fill="auto"/>
            <w:vAlign w:val="center"/>
          </w:tcPr>
          <w:p w14:paraId="02126D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490" w:type="pct"/>
            <w:shd w:val="clear" w:color="auto" w:fill="auto"/>
            <w:vAlign w:val="center"/>
          </w:tcPr>
          <w:p w14:paraId="261710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金河工业园汽车轻量化（零部件）产业园</w:t>
            </w:r>
          </w:p>
        </w:tc>
        <w:tc>
          <w:tcPr>
            <w:tcW w:w="2040" w:type="pct"/>
            <w:shd w:val="clear" w:color="auto" w:fill="auto"/>
            <w:vAlign w:val="center"/>
          </w:tcPr>
          <w:p w14:paraId="33D4F2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占地50亩，建设5万平方米标准化厂房引进汽车零部件制造企业</w:t>
            </w:r>
          </w:p>
        </w:tc>
        <w:tc>
          <w:tcPr>
            <w:tcW w:w="460" w:type="pct"/>
            <w:shd w:val="clear" w:color="auto" w:fill="auto"/>
            <w:vAlign w:val="center"/>
          </w:tcPr>
          <w:p w14:paraId="1A5C2F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70B59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38EF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63374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06A0B7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FEFF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819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shd w:val="clear" w:color="auto" w:fill="auto"/>
            <w:vAlign w:val="center"/>
          </w:tcPr>
          <w:p w14:paraId="6D3262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w:t>
            </w:r>
          </w:p>
        </w:tc>
        <w:tc>
          <w:tcPr>
            <w:tcW w:w="490" w:type="pct"/>
            <w:shd w:val="clear" w:color="auto" w:fill="auto"/>
            <w:vAlign w:val="center"/>
          </w:tcPr>
          <w:p w14:paraId="11FFF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臻叡智能自动驾驶L2设备技术改造项目</w:t>
            </w:r>
          </w:p>
        </w:tc>
        <w:tc>
          <w:tcPr>
            <w:tcW w:w="2040" w:type="pct"/>
            <w:shd w:val="clear" w:color="auto" w:fill="auto"/>
            <w:vAlign w:val="center"/>
          </w:tcPr>
          <w:p w14:paraId="67C297B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租赁改造标准化厂房2164平方米，建设研发基地、实验场地及生产线，新购全天候预警仪415套、拉线总成500个等</w:t>
            </w:r>
          </w:p>
        </w:tc>
        <w:tc>
          <w:tcPr>
            <w:tcW w:w="460" w:type="pct"/>
            <w:shd w:val="clear" w:color="auto" w:fill="auto"/>
            <w:vAlign w:val="center"/>
          </w:tcPr>
          <w:p w14:paraId="462876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84D0C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F63B9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094CDF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095649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80FE9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蟠龙新区管委会</w:t>
            </w:r>
            <w:r>
              <w:rPr>
                <w:rFonts w:hint="eastAsia" w:ascii="仿宋_GB2312" w:hAnsi="宋体" w:eastAsia="仿宋_GB2312" w:cs="宋体"/>
                <w:kern w:val="0"/>
                <w:sz w:val="20"/>
                <w:szCs w:val="20"/>
              </w:rPr>
              <w:t xml:space="preserve">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711FB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1EB05A7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三、传统产业改造升级项目（40个）</w:t>
            </w:r>
          </w:p>
        </w:tc>
        <w:tc>
          <w:tcPr>
            <w:tcW w:w="460" w:type="pct"/>
            <w:shd w:val="clear" w:color="auto" w:fill="auto"/>
            <w:vAlign w:val="center"/>
          </w:tcPr>
          <w:p w14:paraId="4C998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9DA18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9C5196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77" w:type="pct"/>
            <w:shd w:val="clear" w:color="auto" w:fill="auto"/>
            <w:vAlign w:val="center"/>
          </w:tcPr>
          <w:p w14:paraId="3B803EF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78.78</w:t>
            </w:r>
          </w:p>
        </w:tc>
        <w:tc>
          <w:tcPr>
            <w:tcW w:w="319" w:type="pct"/>
            <w:shd w:val="clear" w:color="auto" w:fill="auto"/>
            <w:vAlign w:val="center"/>
          </w:tcPr>
          <w:p w14:paraId="12E1DC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5E7EB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F307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DC1FB0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04F19AA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20"/>
                <w:kern w:val="0"/>
                <w:sz w:val="20"/>
                <w:szCs w:val="20"/>
              </w:rPr>
              <w:t>设备基地改造提升（27）</w:t>
            </w:r>
          </w:p>
        </w:tc>
        <w:tc>
          <w:tcPr>
            <w:tcW w:w="2040" w:type="pct"/>
            <w:shd w:val="clear" w:color="auto" w:fill="auto"/>
            <w:vAlign w:val="center"/>
          </w:tcPr>
          <w:p w14:paraId="799A5DE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F73BC0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1DA8D39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42AFC3C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77" w:type="pct"/>
            <w:shd w:val="clear" w:color="auto" w:fill="auto"/>
            <w:vAlign w:val="center"/>
          </w:tcPr>
          <w:p w14:paraId="24EC01A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31.68</w:t>
            </w:r>
          </w:p>
        </w:tc>
        <w:tc>
          <w:tcPr>
            <w:tcW w:w="319" w:type="pct"/>
            <w:shd w:val="clear" w:color="auto" w:fill="auto"/>
            <w:vAlign w:val="center"/>
          </w:tcPr>
          <w:p w14:paraId="08AE24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D189CE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5F546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2" w:hRule="atLeast"/>
        </w:trPr>
        <w:tc>
          <w:tcPr>
            <w:tcW w:w="225" w:type="pct"/>
            <w:shd w:val="clear" w:color="auto" w:fill="auto"/>
            <w:vAlign w:val="center"/>
          </w:tcPr>
          <w:p w14:paraId="729F2E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490" w:type="pct"/>
            <w:shd w:val="clear" w:color="auto" w:fill="auto"/>
            <w:vAlign w:val="center"/>
          </w:tcPr>
          <w:p w14:paraId="77843E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金河工业园精密制造产业园</w:t>
            </w:r>
          </w:p>
        </w:tc>
        <w:tc>
          <w:tcPr>
            <w:tcW w:w="2040" w:type="pct"/>
            <w:shd w:val="clear" w:color="auto" w:fill="auto"/>
            <w:vAlign w:val="center"/>
          </w:tcPr>
          <w:p w14:paraId="10982D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占地40亩，建设标准化厂房5万平方米，一期建设厂房2.7万平方米 ，1栋地上五层框架结构的辅助性用房0.8万平方米；二期建设标准化厂房1.5万平方米；配套建设道路、绿化、给排水、供电、消防等设施</w:t>
            </w:r>
          </w:p>
        </w:tc>
        <w:tc>
          <w:tcPr>
            <w:tcW w:w="460" w:type="pct"/>
            <w:shd w:val="clear" w:color="auto" w:fill="auto"/>
            <w:vAlign w:val="center"/>
          </w:tcPr>
          <w:p w14:paraId="2C754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6C57F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647A4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4F709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999EF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2FDE9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72D4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0241E1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39</w:t>
            </w:r>
          </w:p>
        </w:tc>
        <w:tc>
          <w:tcPr>
            <w:tcW w:w="490" w:type="pct"/>
            <w:shd w:val="clear" w:color="auto" w:fill="auto"/>
            <w:vAlign w:val="center"/>
          </w:tcPr>
          <w:p w14:paraId="077444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金河工业园循环经济产业园项目</w:t>
            </w:r>
          </w:p>
        </w:tc>
        <w:tc>
          <w:tcPr>
            <w:tcW w:w="2040" w:type="pct"/>
            <w:shd w:val="clear" w:color="auto" w:fill="auto"/>
            <w:vAlign w:val="center"/>
          </w:tcPr>
          <w:p w14:paraId="199103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一期建设标准化厂房1.3万平方米，购置安装环保免烧砖生产设备、干混砂浆设备以及污水处理等设施，配套建设路面、绿化等设施；二期建设标准化厂房2万平方米，建成免烧砖生产线2条</w:t>
            </w:r>
          </w:p>
        </w:tc>
        <w:tc>
          <w:tcPr>
            <w:tcW w:w="460" w:type="pct"/>
            <w:shd w:val="clear" w:color="auto" w:fill="auto"/>
            <w:vAlign w:val="center"/>
          </w:tcPr>
          <w:p w14:paraId="4E51DD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F69AE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708EE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38CD03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5D27D9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6D4E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99D1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3" w:hRule="atLeast"/>
        </w:trPr>
        <w:tc>
          <w:tcPr>
            <w:tcW w:w="225" w:type="pct"/>
            <w:shd w:val="clear" w:color="auto" w:fill="auto"/>
            <w:vAlign w:val="center"/>
          </w:tcPr>
          <w:p w14:paraId="4F8A74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490" w:type="pct"/>
            <w:shd w:val="clear" w:color="auto" w:fill="auto"/>
            <w:vAlign w:val="center"/>
          </w:tcPr>
          <w:p w14:paraId="31E2B2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金河工业园外贸产业园项目</w:t>
            </w:r>
          </w:p>
        </w:tc>
        <w:tc>
          <w:tcPr>
            <w:tcW w:w="2040" w:type="pct"/>
            <w:shd w:val="clear" w:color="auto" w:fill="auto"/>
            <w:vAlign w:val="center"/>
          </w:tcPr>
          <w:p w14:paraId="4877C54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建设综合楼，外贸仓库和交易、结算场所、</w:t>
            </w:r>
            <w:r>
              <w:rPr>
                <w:rFonts w:hint="eastAsia" w:ascii="仿宋_GB2312" w:hAnsi="宋体" w:eastAsia="仿宋_GB2312" w:cs="宋体"/>
                <w:kern w:val="0"/>
                <w:sz w:val="20"/>
                <w:szCs w:val="20"/>
                <w:lang w:eastAsia="zh-CN"/>
              </w:rPr>
              <w:t>停车场</w:t>
            </w:r>
            <w:r>
              <w:rPr>
                <w:rFonts w:hint="eastAsia" w:ascii="仿宋_GB2312" w:hAnsi="宋体" w:eastAsia="仿宋_GB2312" w:cs="宋体"/>
                <w:kern w:val="0"/>
                <w:sz w:val="20"/>
                <w:szCs w:val="20"/>
              </w:rPr>
              <w:t>、生活服务设施，配套建设道路、绿化、给排水、供电、消防等设施</w:t>
            </w:r>
          </w:p>
        </w:tc>
        <w:tc>
          <w:tcPr>
            <w:tcW w:w="460" w:type="pct"/>
            <w:shd w:val="clear" w:color="auto" w:fill="auto"/>
            <w:vAlign w:val="center"/>
          </w:tcPr>
          <w:p w14:paraId="632312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1D1C7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437C5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D5BBB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76D77E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8740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407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3" w:hRule="atLeast"/>
        </w:trPr>
        <w:tc>
          <w:tcPr>
            <w:tcW w:w="225" w:type="pct"/>
            <w:shd w:val="clear" w:color="auto" w:fill="auto"/>
            <w:vAlign w:val="center"/>
          </w:tcPr>
          <w:p w14:paraId="2AE483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41</w:t>
            </w:r>
          </w:p>
        </w:tc>
        <w:tc>
          <w:tcPr>
            <w:tcW w:w="490" w:type="pct"/>
            <w:shd w:val="clear" w:color="auto" w:fill="auto"/>
            <w:vAlign w:val="center"/>
          </w:tcPr>
          <w:p w14:paraId="773669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金河工业园新金属制品产业园</w:t>
            </w:r>
          </w:p>
        </w:tc>
        <w:tc>
          <w:tcPr>
            <w:tcW w:w="2040" w:type="pct"/>
            <w:shd w:val="clear" w:color="auto" w:fill="auto"/>
            <w:vAlign w:val="center"/>
          </w:tcPr>
          <w:p w14:paraId="1B0D194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占地56亩，新建标准化厂房2万平方米，配套建设办公、研发等设施</w:t>
            </w:r>
          </w:p>
        </w:tc>
        <w:tc>
          <w:tcPr>
            <w:tcW w:w="460" w:type="pct"/>
            <w:shd w:val="clear" w:color="auto" w:fill="auto"/>
            <w:vAlign w:val="center"/>
          </w:tcPr>
          <w:p w14:paraId="372808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BDD24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D5702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0FC6EC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27DCA7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F0B8C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A4A5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382E2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42</w:t>
            </w:r>
          </w:p>
        </w:tc>
        <w:tc>
          <w:tcPr>
            <w:tcW w:w="490" w:type="pct"/>
            <w:shd w:val="clear" w:color="auto" w:fill="auto"/>
            <w:vAlign w:val="center"/>
          </w:tcPr>
          <w:p w14:paraId="17A1D8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金河工业园忠诚企业技术改造提升项目</w:t>
            </w:r>
          </w:p>
        </w:tc>
        <w:tc>
          <w:tcPr>
            <w:tcW w:w="2040" w:type="pct"/>
            <w:shd w:val="clear" w:color="auto" w:fill="auto"/>
            <w:vAlign w:val="center"/>
          </w:tcPr>
          <w:p w14:paraId="7DA62AB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扩大产能，注入资金，对原有铸锻生产线进行全面技术改造提升，新建厂房和生产线</w:t>
            </w:r>
          </w:p>
        </w:tc>
        <w:tc>
          <w:tcPr>
            <w:tcW w:w="460" w:type="pct"/>
            <w:shd w:val="clear" w:color="auto" w:fill="auto"/>
            <w:vAlign w:val="center"/>
          </w:tcPr>
          <w:p w14:paraId="6CE68C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697C0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1F7E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35A17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7696E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D500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6591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shd w:val="clear" w:color="auto" w:fill="auto"/>
            <w:vAlign w:val="center"/>
          </w:tcPr>
          <w:p w14:paraId="21A728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43</w:t>
            </w:r>
          </w:p>
        </w:tc>
        <w:tc>
          <w:tcPr>
            <w:tcW w:w="490" w:type="pct"/>
            <w:shd w:val="clear" w:color="auto" w:fill="auto"/>
            <w:vAlign w:val="center"/>
          </w:tcPr>
          <w:p w14:paraId="7140EB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金河工业园合鑫金诺二期建设项目</w:t>
            </w:r>
          </w:p>
        </w:tc>
        <w:tc>
          <w:tcPr>
            <w:tcW w:w="2040" w:type="pct"/>
            <w:shd w:val="clear" w:color="auto" w:fill="auto"/>
            <w:vAlign w:val="center"/>
          </w:tcPr>
          <w:p w14:paraId="7C90D1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新建标准化厂房1.5万平方米，建设全封闭式长发生产线，配套建设办公、研发等设施</w:t>
            </w:r>
          </w:p>
        </w:tc>
        <w:tc>
          <w:tcPr>
            <w:tcW w:w="460" w:type="pct"/>
            <w:shd w:val="clear" w:color="auto" w:fill="auto"/>
            <w:vAlign w:val="center"/>
          </w:tcPr>
          <w:p w14:paraId="0F58FB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008FD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E3E06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AE7D5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0886F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0360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0E1A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3EE244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44</w:t>
            </w:r>
          </w:p>
        </w:tc>
        <w:tc>
          <w:tcPr>
            <w:tcW w:w="490" w:type="pct"/>
            <w:shd w:val="clear" w:color="auto" w:fill="auto"/>
            <w:vAlign w:val="center"/>
          </w:tcPr>
          <w:p w14:paraId="0C1A3B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金河工业园德维特二期项目</w:t>
            </w:r>
          </w:p>
        </w:tc>
        <w:tc>
          <w:tcPr>
            <w:tcW w:w="2040" w:type="pct"/>
            <w:shd w:val="clear" w:color="auto" w:fill="auto"/>
            <w:vAlign w:val="center"/>
          </w:tcPr>
          <w:p w14:paraId="7CAF89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利用企业内部现有空地新建标准化厂房5000平方米，新增特种防护服生产线、智能家居等项目</w:t>
            </w:r>
          </w:p>
        </w:tc>
        <w:tc>
          <w:tcPr>
            <w:tcW w:w="460" w:type="pct"/>
            <w:shd w:val="clear" w:color="auto" w:fill="auto"/>
            <w:vAlign w:val="center"/>
          </w:tcPr>
          <w:p w14:paraId="55C0E2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1D2AF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91455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0A134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F665E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B97B4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575B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8" w:hRule="atLeast"/>
        </w:trPr>
        <w:tc>
          <w:tcPr>
            <w:tcW w:w="225" w:type="pct"/>
            <w:shd w:val="clear" w:color="auto" w:fill="auto"/>
            <w:vAlign w:val="center"/>
          </w:tcPr>
          <w:p w14:paraId="679CDF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490" w:type="pct"/>
            <w:shd w:val="clear" w:color="auto" w:fill="auto"/>
            <w:vAlign w:val="center"/>
          </w:tcPr>
          <w:p w14:paraId="7B05A0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金河工业园金桥辐照项目</w:t>
            </w:r>
          </w:p>
        </w:tc>
        <w:tc>
          <w:tcPr>
            <w:tcW w:w="2040" w:type="pct"/>
            <w:shd w:val="clear" w:color="auto" w:fill="auto"/>
            <w:vAlign w:val="center"/>
          </w:tcPr>
          <w:p w14:paraId="2859A53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占地100亩，建设标准化厂房45000平方米，引进钴60辐照设备10MEV加速器，年产辐照量9450KW</w:t>
            </w:r>
          </w:p>
        </w:tc>
        <w:tc>
          <w:tcPr>
            <w:tcW w:w="460" w:type="pct"/>
            <w:shd w:val="clear" w:color="auto" w:fill="auto"/>
            <w:vAlign w:val="center"/>
          </w:tcPr>
          <w:p w14:paraId="3C34EF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54D08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F22F6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613481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797EBD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3ED8E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79F7C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2" w:hRule="atLeast"/>
        </w:trPr>
        <w:tc>
          <w:tcPr>
            <w:tcW w:w="225" w:type="pct"/>
            <w:shd w:val="clear" w:color="auto" w:fill="auto"/>
            <w:vAlign w:val="center"/>
          </w:tcPr>
          <w:p w14:paraId="6DE5B3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46</w:t>
            </w:r>
          </w:p>
        </w:tc>
        <w:tc>
          <w:tcPr>
            <w:tcW w:w="490" w:type="pct"/>
            <w:shd w:val="clear" w:color="auto" w:fill="auto"/>
            <w:vAlign w:val="center"/>
          </w:tcPr>
          <w:p w14:paraId="45A019C2">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w:t>
            </w:r>
            <w:r>
              <w:rPr>
                <w:rFonts w:hint="eastAsia" w:ascii="仿宋_GB2312" w:hAnsi="宋体" w:eastAsia="仿宋_GB2312" w:cs="宋体"/>
                <w:spacing w:val="-6"/>
                <w:kern w:val="0"/>
                <w:sz w:val="20"/>
                <w:szCs w:val="20"/>
                <w:lang w:eastAsia="zh-CN"/>
              </w:rPr>
              <w:t>黏土</w:t>
            </w:r>
            <w:r>
              <w:rPr>
                <w:rFonts w:hint="eastAsia" w:ascii="仿宋_GB2312" w:hAnsi="宋体" w:eastAsia="仿宋_GB2312" w:cs="宋体"/>
                <w:spacing w:val="-6"/>
                <w:kern w:val="0"/>
                <w:sz w:val="20"/>
                <w:szCs w:val="20"/>
              </w:rPr>
              <w:t>砂水平线项目</w:t>
            </w:r>
          </w:p>
        </w:tc>
        <w:tc>
          <w:tcPr>
            <w:tcW w:w="2040" w:type="pct"/>
            <w:shd w:val="clear" w:color="auto" w:fill="auto"/>
            <w:vAlign w:val="center"/>
          </w:tcPr>
          <w:p w14:paraId="0896F84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年产铸件6000吨，针对汽车铸件新建1条粘土砂水平线（静压线）</w:t>
            </w:r>
          </w:p>
        </w:tc>
        <w:tc>
          <w:tcPr>
            <w:tcW w:w="460" w:type="pct"/>
            <w:shd w:val="clear" w:color="auto" w:fill="auto"/>
            <w:vAlign w:val="center"/>
          </w:tcPr>
          <w:p w14:paraId="628FD4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A66F6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A9F2F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64F65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CCB29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2C67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3E3B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7AD33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47</w:t>
            </w:r>
          </w:p>
        </w:tc>
        <w:tc>
          <w:tcPr>
            <w:tcW w:w="490" w:type="pct"/>
            <w:shd w:val="clear" w:color="auto" w:fill="auto"/>
            <w:vAlign w:val="center"/>
          </w:tcPr>
          <w:p w14:paraId="6629ED9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金河工业园中祺陶瓷2号生产线节能改造项目</w:t>
            </w:r>
          </w:p>
        </w:tc>
        <w:tc>
          <w:tcPr>
            <w:tcW w:w="2040" w:type="pct"/>
            <w:shd w:val="clear" w:color="auto" w:fill="auto"/>
            <w:vAlign w:val="center"/>
          </w:tcPr>
          <w:p w14:paraId="683C12E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新购4000吨压机2台，1万吨压机1台,新建4层90米余热烘干器一条，新建节能型窑炉一条，新建</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自动储坯库一座，拆除原高能耗的干燥器及窑炉等</w:t>
            </w:r>
          </w:p>
        </w:tc>
        <w:tc>
          <w:tcPr>
            <w:tcW w:w="460" w:type="pct"/>
            <w:shd w:val="clear" w:color="auto" w:fill="auto"/>
            <w:vAlign w:val="center"/>
          </w:tcPr>
          <w:p w14:paraId="1F7297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999DD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4CD2E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05EE0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954DF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23CF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DE5B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4C5259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48</w:t>
            </w:r>
          </w:p>
        </w:tc>
        <w:tc>
          <w:tcPr>
            <w:tcW w:w="490" w:type="pct"/>
            <w:shd w:val="clear" w:color="auto" w:fill="auto"/>
            <w:vAlign w:val="center"/>
          </w:tcPr>
          <w:p w14:paraId="705258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金河工业园诚志液压二期建设项目</w:t>
            </w:r>
          </w:p>
        </w:tc>
        <w:tc>
          <w:tcPr>
            <w:tcW w:w="2040" w:type="pct"/>
            <w:shd w:val="clear" w:color="auto" w:fill="auto"/>
            <w:vAlign w:val="center"/>
          </w:tcPr>
          <w:p w14:paraId="77E2A9F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新建标准化厂房3000平方米，对现有老厂房进行修缮，配套建设办公、研发等设施</w:t>
            </w:r>
          </w:p>
        </w:tc>
        <w:tc>
          <w:tcPr>
            <w:tcW w:w="460" w:type="pct"/>
            <w:shd w:val="clear" w:color="auto" w:fill="auto"/>
            <w:vAlign w:val="center"/>
          </w:tcPr>
          <w:p w14:paraId="0617E9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6B6E3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A5007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4CB9B7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1AF69A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E69A4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3FD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51A4F8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49</w:t>
            </w:r>
          </w:p>
        </w:tc>
        <w:tc>
          <w:tcPr>
            <w:tcW w:w="490" w:type="pct"/>
            <w:shd w:val="clear" w:color="auto" w:fill="auto"/>
            <w:vAlign w:val="center"/>
          </w:tcPr>
          <w:p w14:paraId="04E86E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金河工业园锐诚钛业钛加工项目</w:t>
            </w:r>
          </w:p>
        </w:tc>
        <w:tc>
          <w:tcPr>
            <w:tcW w:w="2040" w:type="pct"/>
            <w:shd w:val="clear" w:color="auto" w:fill="auto"/>
            <w:vAlign w:val="center"/>
          </w:tcPr>
          <w:p w14:paraId="01D2396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占地15亩，建成涂层钛阳极生产线，建设厂房5000平方米及附属设施</w:t>
            </w:r>
          </w:p>
        </w:tc>
        <w:tc>
          <w:tcPr>
            <w:tcW w:w="460" w:type="pct"/>
            <w:shd w:val="clear" w:color="auto" w:fill="auto"/>
            <w:vAlign w:val="center"/>
          </w:tcPr>
          <w:p w14:paraId="1DCDF0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26B62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B1E15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60C23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4E60EE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A91AB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928E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07080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50</w:t>
            </w:r>
          </w:p>
        </w:tc>
        <w:tc>
          <w:tcPr>
            <w:tcW w:w="490" w:type="pct"/>
            <w:shd w:val="clear" w:color="auto" w:fill="auto"/>
            <w:vAlign w:val="center"/>
          </w:tcPr>
          <w:p w14:paraId="70E536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金河工业园石油装备产业园</w:t>
            </w:r>
          </w:p>
        </w:tc>
        <w:tc>
          <w:tcPr>
            <w:tcW w:w="2040" w:type="pct"/>
            <w:shd w:val="clear" w:color="auto" w:fill="auto"/>
            <w:vAlign w:val="center"/>
          </w:tcPr>
          <w:p w14:paraId="37BD439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以宝鸡诚志液压有限公司为依托，周边地块为保障，建设标准化厂房50000平方米，配套建设办公、研发等设施，组建石油装备产业园</w:t>
            </w:r>
          </w:p>
        </w:tc>
        <w:tc>
          <w:tcPr>
            <w:tcW w:w="460" w:type="pct"/>
            <w:shd w:val="clear" w:color="auto" w:fill="auto"/>
            <w:vAlign w:val="center"/>
          </w:tcPr>
          <w:p w14:paraId="27789B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70567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27037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74A386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FB7B5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EB00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F543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3" w:hRule="atLeast"/>
        </w:trPr>
        <w:tc>
          <w:tcPr>
            <w:tcW w:w="225" w:type="pct"/>
            <w:shd w:val="clear" w:color="auto" w:fill="auto"/>
            <w:vAlign w:val="center"/>
          </w:tcPr>
          <w:p w14:paraId="3E1BCE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51</w:t>
            </w:r>
          </w:p>
        </w:tc>
        <w:tc>
          <w:tcPr>
            <w:tcW w:w="490" w:type="pct"/>
            <w:shd w:val="clear" w:color="auto" w:fill="auto"/>
            <w:vAlign w:val="center"/>
          </w:tcPr>
          <w:p w14:paraId="3EA705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金河工业园机床配套产业园</w:t>
            </w:r>
          </w:p>
        </w:tc>
        <w:tc>
          <w:tcPr>
            <w:tcW w:w="2040" w:type="pct"/>
            <w:shd w:val="clear" w:color="auto" w:fill="auto"/>
            <w:vAlign w:val="center"/>
          </w:tcPr>
          <w:p w14:paraId="6450DFC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占地50亩，建设50000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标准化厂房，以宝鸡机床集团子公司忠诚集团为依托，招引产业链关键部件生产企业，搭建机床配套产业园</w:t>
            </w:r>
          </w:p>
        </w:tc>
        <w:tc>
          <w:tcPr>
            <w:tcW w:w="460" w:type="pct"/>
            <w:shd w:val="clear" w:color="auto" w:fill="auto"/>
            <w:vAlign w:val="center"/>
          </w:tcPr>
          <w:p w14:paraId="0FF729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7D8F25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706D6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D5944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AE72B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24250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63AAD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502DA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52</w:t>
            </w:r>
          </w:p>
        </w:tc>
        <w:tc>
          <w:tcPr>
            <w:tcW w:w="490" w:type="pct"/>
            <w:shd w:val="clear" w:color="auto" w:fill="auto"/>
            <w:vAlign w:val="center"/>
          </w:tcPr>
          <w:p w14:paraId="15057C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金河工业园金属复合阳极板建设项目</w:t>
            </w:r>
          </w:p>
        </w:tc>
        <w:tc>
          <w:tcPr>
            <w:tcW w:w="2040" w:type="pct"/>
            <w:shd w:val="clear" w:color="auto" w:fill="auto"/>
            <w:vAlign w:val="center"/>
          </w:tcPr>
          <w:p w14:paraId="26EA9E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占地19.4亩，新建厂房5000平方米及附属设施，建成复合材料生产线</w:t>
            </w:r>
          </w:p>
        </w:tc>
        <w:tc>
          <w:tcPr>
            <w:tcW w:w="460" w:type="pct"/>
            <w:shd w:val="clear" w:color="auto" w:fill="auto"/>
            <w:vAlign w:val="center"/>
          </w:tcPr>
          <w:p w14:paraId="59D706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w:t>
            </w:r>
          </w:p>
        </w:tc>
        <w:tc>
          <w:tcPr>
            <w:tcW w:w="374" w:type="pct"/>
            <w:shd w:val="clear" w:color="auto" w:fill="auto"/>
            <w:vAlign w:val="center"/>
          </w:tcPr>
          <w:p w14:paraId="4F3CB4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72943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EA4EC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9F4EA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57FEB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B1AF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6BEAD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53</w:t>
            </w:r>
          </w:p>
        </w:tc>
        <w:tc>
          <w:tcPr>
            <w:tcW w:w="490" w:type="pct"/>
            <w:shd w:val="clear" w:color="auto" w:fill="auto"/>
            <w:vAlign w:val="center"/>
          </w:tcPr>
          <w:p w14:paraId="156C90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金河工业园金属颗粒及粉末分选加工项目</w:t>
            </w:r>
          </w:p>
        </w:tc>
        <w:tc>
          <w:tcPr>
            <w:tcW w:w="2040" w:type="pct"/>
            <w:shd w:val="clear" w:color="auto" w:fill="auto"/>
            <w:vAlign w:val="center"/>
          </w:tcPr>
          <w:p w14:paraId="6D76BF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占地36.6亩，新建厂房5000平方米及附属设施，建成废弃资源综合利用生产线</w:t>
            </w:r>
          </w:p>
        </w:tc>
        <w:tc>
          <w:tcPr>
            <w:tcW w:w="460" w:type="pct"/>
            <w:shd w:val="clear" w:color="auto" w:fill="auto"/>
            <w:vAlign w:val="center"/>
          </w:tcPr>
          <w:p w14:paraId="5957EF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3EB77A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28CD2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81389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F9414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73237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41265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565A9F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54</w:t>
            </w:r>
          </w:p>
        </w:tc>
        <w:tc>
          <w:tcPr>
            <w:tcW w:w="490" w:type="pct"/>
            <w:shd w:val="clear" w:color="auto" w:fill="auto"/>
            <w:vAlign w:val="center"/>
          </w:tcPr>
          <w:p w14:paraId="7F9CC5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安达实业有色金属加工能力提升改造项目</w:t>
            </w:r>
          </w:p>
        </w:tc>
        <w:tc>
          <w:tcPr>
            <w:tcW w:w="2040" w:type="pct"/>
            <w:shd w:val="clear" w:color="auto" w:fill="auto"/>
            <w:vAlign w:val="center"/>
          </w:tcPr>
          <w:p w14:paraId="39DE1C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购置安装数控等离子火焰切割机、铣边机、刨边机、校平机、剪板机</w:t>
            </w:r>
            <w:r>
              <w:rPr>
                <w:rFonts w:hint="eastAsia" w:ascii="仿宋_GB2312" w:hAnsi="宋体" w:eastAsia="仿宋_GB2312" w:cs="宋体"/>
                <w:spacing w:val="-6"/>
                <w:kern w:val="0"/>
                <w:sz w:val="20"/>
                <w:szCs w:val="20"/>
              </w:rPr>
              <w:t>等设备，实施桥式双头水磨机、数控平面打磨机工艺提升，增加生产辅助设施设备，购买2辆运输车辆，配套完善水、电等基础设施</w:t>
            </w:r>
          </w:p>
        </w:tc>
        <w:tc>
          <w:tcPr>
            <w:tcW w:w="460" w:type="pct"/>
            <w:shd w:val="clear" w:color="auto" w:fill="auto"/>
            <w:vAlign w:val="center"/>
          </w:tcPr>
          <w:p w14:paraId="480B2A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61043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77C517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77" w:type="pct"/>
            <w:shd w:val="clear" w:color="auto" w:fill="auto"/>
            <w:vAlign w:val="center"/>
          </w:tcPr>
          <w:p w14:paraId="2FD892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0.07</w:t>
            </w:r>
          </w:p>
        </w:tc>
        <w:tc>
          <w:tcPr>
            <w:tcW w:w="319" w:type="pct"/>
            <w:shd w:val="clear" w:color="auto" w:fill="auto"/>
            <w:vAlign w:val="center"/>
          </w:tcPr>
          <w:p w14:paraId="00CE25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F903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12165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17795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490" w:type="pct"/>
            <w:shd w:val="clear" w:color="auto" w:fill="auto"/>
            <w:vAlign w:val="center"/>
          </w:tcPr>
          <w:p w14:paraId="3AAAA0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瑞林井口井控设备升级项目</w:t>
            </w:r>
          </w:p>
        </w:tc>
        <w:tc>
          <w:tcPr>
            <w:tcW w:w="2040" w:type="pct"/>
            <w:shd w:val="clear" w:color="auto" w:fill="auto"/>
            <w:vAlign w:val="center"/>
          </w:tcPr>
          <w:p w14:paraId="06E954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对井口、井控设备进行工业技改，购置相关设备</w:t>
            </w:r>
          </w:p>
        </w:tc>
        <w:tc>
          <w:tcPr>
            <w:tcW w:w="460" w:type="pct"/>
            <w:shd w:val="clear" w:color="auto" w:fill="auto"/>
            <w:vAlign w:val="center"/>
          </w:tcPr>
          <w:p w14:paraId="2093AF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03B6DF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7271E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77" w:type="pct"/>
            <w:shd w:val="clear" w:color="auto" w:fill="auto"/>
            <w:vAlign w:val="center"/>
          </w:tcPr>
          <w:p w14:paraId="2E314B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0.05</w:t>
            </w:r>
          </w:p>
        </w:tc>
        <w:tc>
          <w:tcPr>
            <w:tcW w:w="319" w:type="pct"/>
            <w:shd w:val="clear" w:color="auto" w:fill="auto"/>
            <w:vAlign w:val="center"/>
          </w:tcPr>
          <w:p w14:paraId="79CD95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DCAA8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C608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43A2FA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56</w:t>
            </w:r>
          </w:p>
        </w:tc>
        <w:tc>
          <w:tcPr>
            <w:tcW w:w="490" w:type="pct"/>
            <w:shd w:val="clear" w:color="auto" w:fill="auto"/>
            <w:vAlign w:val="center"/>
          </w:tcPr>
          <w:p w14:paraId="56154F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金台标准化砂石厂建设项目</w:t>
            </w:r>
          </w:p>
        </w:tc>
        <w:tc>
          <w:tcPr>
            <w:tcW w:w="2040" w:type="pct"/>
            <w:shd w:val="clear" w:color="auto" w:fill="auto"/>
            <w:vAlign w:val="center"/>
          </w:tcPr>
          <w:p w14:paraId="4EA9798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占地60亩，建设3层综合楼一栋，总建筑面积6420平方米，建设3层综合楼一栋、骨料加工间一栋、成品库房一栋，配套相关设施</w:t>
            </w:r>
          </w:p>
        </w:tc>
        <w:tc>
          <w:tcPr>
            <w:tcW w:w="460" w:type="pct"/>
            <w:shd w:val="clear" w:color="auto" w:fill="auto"/>
            <w:vAlign w:val="center"/>
          </w:tcPr>
          <w:p w14:paraId="78F093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硖石镇红硖村</w:t>
            </w:r>
          </w:p>
        </w:tc>
        <w:tc>
          <w:tcPr>
            <w:tcW w:w="374" w:type="pct"/>
            <w:shd w:val="clear" w:color="auto" w:fill="auto"/>
            <w:vAlign w:val="center"/>
          </w:tcPr>
          <w:p w14:paraId="46CF1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7B71F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77" w:type="pct"/>
            <w:shd w:val="clear" w:color="auto" w:fill="auto"/>
            <w:vAlign w:val="center"/>
          </w:tcPr>
          <w:p w14:paraId="1685C5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0.62</w:t>
            </w:r>
          </w:p>
        </w:tc>
        <w:tc>
          <w:tcPr>
            <w:tcW w:w="319" w:type="pct"/>
            <w:shd w:val="clear" w:color="auto" w:fill="auto"/>
            <w:vAlign w:val="center"/>
          </w:tcPr>
          <w:p w14:paraId="72DA2E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63A80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0045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7602FA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57</w:t>
            </w:r>
          </w:p>
        </w:tc>
        <w:tc>
          <w:tcPr>
            <w:tcW w:w="490" w:type="pct"/>
            <w:shd w:val="clear" w:color="auto" w:fill="auto"/>
            <w:vAlign w:val="center"/>
          </w:tcPr>
          <w:p w14:paraId="4E3AF1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金台区巨龙铁路器材有限公司改扩建项目</w:t>
            </w:r>
          </w:p>
        </w:tc>
        <w:tc>
          <w:tcPr>
            <w:tcW w:w="2040" w:type="pct"/>
            <w:shd w:val="clear" w:color="auto" w:fill="auto"/>
            <w:vAlign w:val="center"/>
          </w:tcPr>
          <w:p w14:paraId="49429E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在原有厂房旁进行扩建，新建占地面积约2000平方米的厂房，采购新型环保设备，增加铁路专用减震垫板年产量</w:t>
            </w:r>
          </w:p>
        </w:tc>
        <w:tc>
          <w:tcPr>
            <w:tcW w:w="460" w:type="pct"/>
            <w:shd w:val="clear" w:color="auto" w:fill="auto"/>
            <w:vAlign w:val="center"/>
          </w:tcPr>
          <w:p w14:paraId="5DF1D3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376D27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F99A7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143A69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78D63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4743E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2F47D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28F00B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58</w:t>
            </w:r>
          </w:p>
        </w:tc>
        <w:tc>
          <w:tcPr>
            <w:tcW w:w="490" w:type="pct"/>
            <w:shd w:val="clear" w:color="auto" w:fill="auto"/>
            <w:vAlign w:val="center"/>
          </w:tcPr>
          <w:p w14:paraId="695ED8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金台区高速铁路接触网零部件产业化及智能化升级项目</w:t>
            </w:r>
          </w:p>
        </w:tc>
        <w:tc>
          <w:tcPr>
            <w:tcW w:w="2040" w:type="pct"/>
            <w:shd w:val="clear" w:color="auto" w:fill="auto"/>
            <w:vAlign w:val="center"/>
          </w:tcPr>
          <w:p w14:paraId="1F9297F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拟依托现有厂房新增生产及环保设备119套/台，形成3178吨/年的装备产能</w:t>
            </w:r>
          </w:p>
        </w:tc>
        <w:tc>
          <w:tcPr>
            <w:tcW w:w="460" w:type="pct"/>
            <w:shd w:val="clear" w:color="auto" w:fill="auto"/>
            <w:vAlign w:val="center"/>
          </w:tcPr>
          <w:p w14:paraId="7B68ED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陈仓大道35号</w:t>
            </w:r>
          </w:p>
        </w:tc>
        <w:tc>
          <w:tcPr>
            <w:tcW w:w="374" w:type="pct"/>
            <w:shd w:val="clear" w:color="auto" w:fill="auto"/>
            <w:vAlign w:val="center"/>
          </w:tcPr>
          <w:p w14:paraId="4DBE97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7254A7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77" w:type="pct"/>
            <w:shd w:val="clear" w:color="auto" w:fill="auto"/>
            <w:vAlign w:val="center"/>
          </w:tcPr>
          <w:p w14:paraId="6E9DD8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319" w:type="pct"/>
            <w:shd w:val="clear" w:color="auto" w:fill="auto"/>
            <w:vAlign w:val="center"/>
          </w:tcPr>
          <w:p w14:paraId="595D47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BF7E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46644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6C5DDE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59</w:t>
            </w:r>
          </w:p>
        </w:tc>
        <w:tc>
          <w:tcPr>
            <w:tcW w:w="490" w:type="pct"/>
            <w:shd w:val="clear" w:color="auto" w:fill="auto"/>
            <w:vAlign w:val="center"/>
          </w:tcPr>
          <w:p w14:paraId="2010FA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诚渝圣通机械制造有限公司新厂建设项目</w:t>
            </w:r>
          </w:p>
        </w:tc>
        <w:tc>
          <w:tcPr>
            <w:tcW w:w="2040" w:type="pct"/>
            <w:shd w:val="clear" w:color="auto" w:fill="auto"/>
            <w:vAlign w:val="center"/>
          </w:tcPr>
          <w:p w14:paraId="6E322BC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总建筑面积8000平方米，新建厂房，技术中心、办公楼及职工宿舍。生产石油射孔枪等机械配件</w:t>
            </w:r>
          </w:p>
        </w:tc>
        <w:tc>
          <w:tcPr>
            <w:tcW w:w="460" w:type="pct"/>
            <w:shd w:val="clear" w:color="auto" w:fill="auto"/>
            <w:vAlign w:val="center"/>
          </w:tcPr>
          <w:p w14:paraId="15D051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蟠龙新区</w:t>
            </w:r>
          </w:p>
        </w:tc>
        <w:tc>
          <w:tcPr>
            <w:tcW w:w="374" w:type="pct"/>
            <w:shd w:val="clear" w:color="auto" w:fill="auto"/>
            <w:vAlign w:val="center"/>
          </w:tcPr>
          <w:p w14:paraId="4CA781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48781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2D9076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6F2D34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179C8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A37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03DB48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60</w:t>
            </w:r>
          </w:p>
        </w:tc>
        <w:tc>
          <w:tcPr>
            <w:tcW w:w="490" w:type="pct"/>
            <w:shd w:val="clear" w:color="auto" w:fill="auto"/>
            <w:vAlign w:val="center"/>
          </w:tcPr>
          <w:p w14:paraId="08689D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金台区特瑞智检测中心项目</w:t>
            </w:r>
          </w:p>
        </w:tc>
        <w:tc>
          <w:tcPr>
            <w:tcW w:w="2040" w:type="pct"/>
            <w:shd w:val="clear" w:color="auto" w:fill="auto"/>
            <w:vAlign w:val="center"/>
          </w:tcPr>
          <w:p w14:paraId="6265D33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租赁场地1400平方米，购置智能综合采样器、自动烟尘（气）测试仪、分光光度计、液相色谱仪、气相色谱仪、离子色谱仪等检测设备200余台套</w:t>
            </w:r>
          </w:p>
        </w:tc>
        <w:tc>
          <w:tcPr>
            <w:tcW w:w="460" w:type="pct"/>
            <w:shd w:val="clear" w:color="auto" w:fill="auto"/>
            <w:vAlign w:val="center"/>
          </w:tcPr>
          <w:p w14:paraId="3A1B21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4DDECD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192BB0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53A35B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19A980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6E3B5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3BEF7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7B609F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61</w:t>
            </w:r>
          </w:p>
        </w:tc>
        <w:tc>
          <w:tcPr>
            <w:tcW w:w="490" w:type="pct"/>
            <w:shd w:val="clear" w:color="auto" w:fill="auto"/>
            <w:vAlign w:val="center"/>
          </w:tcPr>
          <w:p w14:paraId="2C78B5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蟠龙新区云桥精密项目</w:t>
            </w:r>
          </w:p>
        </w:tc>
        <w:tc>
          <w:tcPr>
            <w:tcW w:w="2040" w:type="pct"/>
            <w:shd w:val="clear" w:color="auto" w:fill="auto"/>
            <w:vAlign w:val="center"/>
          </w:tcPr>
          <w:p w14:paraId="6E72823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占地16.393亩，主要建设合成生产车间及成套设备、技术中心、办公楼和职工宿舍等</w:t>
            </w:r>
          </w:p>
        </w:tc>
        <w:tc>
          <w:tcPr>
            <w:tcW w:w="460" w:type="pct"/>
            <w:shd w:val="clear" w:color="auto" w:fill="auto"/>
            <w:vAlign w:val="center"/>
          </w:tcPr>
          <w:p w14:paraId="689836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9AED3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0A9F07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2990F6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E87E8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98AC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17EF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12" w:hRule="atLeast"/>
        </w:trPr>
        <w:tc>
          <w:tcPr>
            <w:tcW w:w="225" w:type="pct"/>
            <w:shd w:val="clear" w:color="auto" w:fill="auto"/>
            <w:vAlign w:val="center"/>
          </w:tcPr>
          <w:p w14:paraId="562D70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w:t>
            </w:r>
          </w:p>
        </w:tc>
        <w:tc>
          <w:tcPr>
            <w:tcW w:w="490" w:type="pct"/>
            <w:shd w:val="clear" w:color="auto" w:fill="auto"/>
            <w:vAlign w:val="center"/>
          </w:tcPr>
          <w:p w14:paraId="308378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蟠龙新区中小工业园金城打井套管项目</w:t>
            </w:r>
          </w:p>
        </w:tc>
        <w:tc>
          <w:tcPr>
            <w:tcW w:w="2040" w:type="pct"/>
            <w:shd w:val="clear" w:color="auto" w:fill="auto"/>
            <w:vAlign w:val="center"/>
          </w:tcPr>
          <w:p w14:paraId="310B1D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41.5亩，建筑占地面积10058平方米，建设喷塑车间、安装车间、注塑车间、机加车间、冲压车间及综合办公楼等。比优特年产100万件耐磨销、套、板，项目占地18.31亩，建设热加工车间、机加车间、综合办公楼等设施</w:t>
            </w:r>
          </w:p>
        </w:tc>
        <w:tc>
          <w:tcPr>
            <w:tcW w:w="460" w:type="pct"/>
            <w:shd w:val="clear" w:color="auto" w:fill="auto"/>
            <w:vAlign w:val="center"/>
          </w:tcPr>
          <w:p w14:paraId="213AEA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F9C8D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36221E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127CB7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5263A9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3422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0D41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7" w:hRule="atLeast"/>
        </w:trPr>
        <w:tc>
          <w:tcPr>
            <w:tcW w:w="225" w:type="pct"/>
            <w:shd w:val="clear" w:color="auto" w:fill="auto"/>
            <w:vAlign w:val="center"/>
          </w:tcPr>
          <w:p w14:paraId="5D3564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w:t>
            </w:r>
          </w:p>
        </w:tc>
        <w:tc>
          <w:tcPr>
            <w:tcW w:w="490" w:type="pct"/>
            <w:shd w:val="clear" w:color="auto" w:fill="auto"/>
            <w:vAlign w:val="center"/>
          </w:tcPr>
          <w:p w14:paraId="746338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蟠龙新区中小工业园兴元石油项目</w:t>
            </w:r>
          </w:p>
        </w:tc>
        <w:tc>
          <w:tcPr>
            <w:tcW w:w="2040" w:type="pct"/>
            <w:shd w:val="clear" w:color="auto" w:fill="auto"/>
            <w:vAlign w:val="center"/>
          </w:tcPr>
          <w:p w14:paraId="302C83C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占地28.965亩，主要建设生产车间、技术中心、综合办公楼和职工宿舍，总建筑面积合计8000平方米。云桥精密项目占地16.393亩，主要建设合成生产车间及成套设备、技术中心、办公楼和职工宿舍</w:t>
            </w:r>
          </w:p>
        </w:tc>
        <w:tc>
          <w:tcPr>
            <w:tcW w:w="460" w:type="pct"/>
            <w:shd w:val="clear" w:color="auto" w:fill="auto"/>
            <w:vAlign w:val="center"/>
          </w:tcPr>
          <w:p w14:paraId="2B9AA8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58745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E6927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088F6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09D7A2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9633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B7DC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7" w:hRule="atLeast"/>
        </w:trPr>
        <w:tc>
          <w:tcPr>
            <w:tcW w:w="225" w:type="pct"/>
            <w:shd w:val="clear" w:color="auto" w:fill="auto"/>
            <w:vAlign w:val="center"/>
          </w:tcPr>
          <w:p w14:paraId="27A8D9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64</w:t>
            </w:r>
          </w:p>
        </w:tc>
        <w:tc>
          <w:tcPr>
            <w:tcW w:w="490" w:type="pct"/>
            <w:shd w:val="clear" w:color="auto" w:fill="auto"/>
            <w:vAlign w:val="center"/>
          </w:tcPr>
          <w:p w14:paraId="65E72C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金台区煤层气电驱压裂泵成套系统开发</w:t>
            </w:r>
          </w:p>
        </w:tc>
        <w:tc>
          <w:tcPr>
            <w:tcW w:w="2040" w:type="pct"/>
            <w:shd w:val="clear" w:color="auto" w:fill="auto"/>
            <w:vAlign w:val="center"/>
          </w:tcPr>
          <w:p w14:paraId="2FF2490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建成煤层气电驱压裂泵成套系统生产线，形成年产新型复合驱油碱液泵组10台套的生产能力</w:t>
            </w:r>
          </w:p>
        </w:tc>
        <w:tc>
          <w:tcPr>
            <w:tcW w:w="460" w:type="pct"/>
            <w:shd w:val="clear" w:color="auto" w:fill="auto"/>
            <w:vAlign w:val="center"/>
          </w:tcPr>
          <w:p w14:paraId="2C3369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金台区人民路</w:t>
            </w:r>
          </w:p>
        </w:tc>
        <w:tc>
          <w:tcPr>
            <w:tcW w:w="374" w:type="pct"/>
            <w:shd w:val="clear" w:color="auto" w:fill="auto"/>
            <w:vAlign w:val="center"/>
          </w:tcPr>
          <w:p w14:paraId="4AFF20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49B83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4C832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2B3EB5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62AE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4C6E3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E6F7D6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29B09FF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消费品（9）</w:t>
            </w:r>
          </w:p>
        </w:tc>
        <w:tc>
          <w:tcPr>
            <w:tcW w:w="2040" w:type="pct"/>
            <w:shd w:val="clear" w:color="auto" w:fill="auto"/>
            <w:vAlign w:val="center"/>
          </w:tcPr>
          <w:p w14:paraId="5048800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5E8D0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E890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27E6C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77" w:type="pct"/>
            <w:shd w:val="clear" w:color="auto" w:fill="auto"/>
            <w:vAlign w:val="center"/>
          </w:tcPr>
          <w:p w14:paraId="6030D6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319" w:type="pct"/>
            <w:shd w:val="clear" w:color="auto" w:fill="auto"/>
            <w:vAlign w:val="center"/>
          </w:tcPr>
          <w:p w14:paraId="53DF8F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0B14F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5255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7F0954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490" w:type="pct"/>
            <w:shd w:val="clear" w:color="auto" w:fill="auto"/>
            <w:vAlign w:val="center"/>
          </w:tcPr>
          <w:p w14:paraId="3F75B8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蟠龙新区健康食品（擀面皮）产业园</w:t>
            </w:r>
          </w:p>
        </w:tc>
        <w:tc>
          <w:tcPr>
            <w:tcW w:w="2040" w:type="pct"/>
            <w:shd w:val="clear" w:color="auto" w:fill="auto"/>
            <w:vAlign w:val="center"/>
          </w:tcPr>
          <w:p w14:paraId="543B615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占地200亩，依托擀面皮，引进无添加剂冻饺、调味品、胡椒粉、鸡精、花椒粉等营养与保健食品等。主要建设内容包括：食品加工、技术研究、产业展示交易中心、电子商务中心、仓储物流等</w:t>
            </w:r>
          </w:p>
        </w:tc>
        <w:tc>
          <w:tcPr>
            <w:tcW w:w="460" w:type="pct"/>
            <w:shd w:val="clear" w:color="auto" w:fill="auto"/>
            <w:vAlign w:val="center"/>
          </w:tcPr>
          <w:p w14:paraId="5EC95A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F8D19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DB14C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2C575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7300C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4C83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84FA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5" w:hRule="atLeast"/>
        </w:trPr>
        <w:tc>
          <w:tcPr>
            <w:tcW w:w="225" w:type="pct"/>
            <w:shd w:val="clear" w:color="auto" w:fill="auto"/>
            <w:vAlign w:val="center"/>
          </w:tcPr>
          <w:p w14:paraId="21DCCB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66</w:t>
            </w:r>
          </w:p>
        </w:tc>
        <w:tc>
          <w:tcPr>
            <w:tcW w:w="490" w:type="pct"/>
            <w:shd w:val="clear" w:color="auto" w:fill="auto"/>
            <w:vAlign w:val="center"/>
          </w:tcPr>
          <w:p w14:paraId="1ED677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威高医疗物品储备项目</w:t>
            </w:r>
          </w:p>
        </w:tc>
        <w:tc>
          <w:tcPr>
            <w:tcW w:w="2040" w:type="pct"/>
            <w:shd w:val="clear" w:color="auto" w:fill="auto"/>
            <w:vAlign w:val="center"/>
          </w:tcPr>
          <w:p w14:paraId="07318DD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建设面积1377</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米，建设医药洁净间，医疗器械净化车间，药剂洁净冷库，医用耗材生产、研发中心及仓库等</w:t>
            </w:r>
          </w:p>
        </w:tc>
        <w:tc>
          <w:tcPr>
            <w:tcW w:w="460" w:type="pct"/>
            <w:shd w:val="clear" w:color="auto" w:fill="auto"/>
            <w:vAlign w:val="center"/>
          </w:tcPr>
          <w:p w14:paraId="27244C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7ADBA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B2547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3CD05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2ACD4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CD39F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2652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595E61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67</w:t>
            </w:r>
          </w:p>
        </w:tc>
        <w:tc>
          <w:tcPr>
            <w:tcW w:w="490" w:type="pct"/>
            <w:shd w:val="clear" w:color="auto" w:fill="auto"/>
            <w:vAlign w:val="center"/>
          </w:tcPr>
          <w:p w14:paraId="5D2B3F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金台区天海山泉全自动生产基地项目</w:t>
            </w:r>
          </w:p>
        </w:tc>
        <w:tc>
          <w:tcPr>
            <w:tcW w:w="2040" w:type="pct"/>
            <w:shd w:val="clear" w:color="auto" w:fill="auto"/>
            <w:vAlign w:val="center"/>
          </w:tcPr>
          <w:p w14:paraId="4179C8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占地35亩，新建两条全自动生产线，生产车间，库房及宿办楼，配套设施建设</w:t>
            </w:r>
          </w:p>
        </w:tc>
        <w:tc>
          <w:tcPr>
            <w:tcW w:w="460" w:type="pct"/>
            <w:shd w:val="clear" w:color="auto" w:fill="auto"/>
            <w:vAlign w:val="center"/>
          </w:tcPr>
          <w:p w14:paraId="6BD9FC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1415A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13431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2CF1FF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23D6E2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B3AE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3449F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16BB0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68</w:t>
            </w:r>
          </w:p>
        </w:tc>
        <w:tc>
          <w:tcPr>
            <w:tcW w:w="490" w:type="pct"/>
            <w:shd w:val="clear" w:color="auto" w:fill="auto"/>
            <w:vAlign w:val="center"/>
          </w:tcPr>
          <w:p w14:paraId="19E9CF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金台区绿色农产品加工基地</w:t>
            </w:r>
          </w:p>
        </w:tc>
        <w:tc>
          <w:tcPr>
            <w:tcW w:w="2040" w:type="pct"/>
            <w:shd w:val="clear" w:color="auto" w:fill="auto"/>
            <w:vAlign w:val="center"/>
          </w:tcPr>
          <w:p w14:paraId="51A5D01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占地200亩，吸引带动一批农业龙头企业集聚，建设核桃、葡萄、黄桃、特色小麦等农产品加工基地</w:t>
            </w:r>
          </w:p>
        </w:tc>
        <w:tc>
          <w:tcPr>
            <w:tcW w:w="460" w:type="pct"/>
            <w:shd w:val="clear" w:color="auto" w:fill="auto"/>
            <w:vAlign w:val="center"/>
          </w:tcPr>
          <w:p w14:paraId="5E0D69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金河镇马家塬</w:t>
            </w:r>
          </w:p>
        </w:tc>
        <w:tc>
          <w:tcPr>
            <w:tcW w:w="374" w:type="pct"/>
            <w:shd w:val="clear" w:color="auto" w:fill="auto"/>
            <w:vAlign w:val="center"/>
          </w:tcPr>
          <w:p w14:paraId="2566A3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7B0E5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E5F1D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66D39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46A9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 金河镇人民政府</w:t>
            </w:r>
          </w:p>
        </w:tc>
      </w:tr>
      <w:tr w14:paraId="0A90E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F6130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69</w:t>
            </w:r>
          </w:p>
        </w:tc>
        <w:tc>
          <w:tcPr>
            <w:tcW w:w="490" w:type="pct"/>
            <w:shd w:val="clear" w:color="auto" w:fill="auto"/>
            <w:vAlign w:val="center"/>
          </w:tcPr>
          <w:p w14:paraId="314411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金台区建材及智能家居产业园</w:t>
            </w:r>
          </w:p>
        </w:tc>
        <w:tc>
          <w:tcPr>
            <w:tcW w:w="2040" w:type="pct"/>
            <w:shd w:val="clear" w:color="auto" w:fill="auto"/>
            <w:vAlign w:val="center"/>
          </w:tcPr>
          <w:p w14:paraId="09873D9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占地300亩，强化招商引资力度，引进先进、自动智能化生产设备，建设全屋定制家具流水生产线，打造集研发、设计、生产、销售于一体的综合型绿色智能家居产业园</w:t>
            </w:r>
          </w:p>
        </w:tc>
        <w:tc>
          <w:tcPr>
            <w:tcW w:w="460" w:type="pct"/>
            <w:shd w:val="clear" w:color="auto" w:fill="auto"/>
            <w:vAlign w:val="center"/>
          </w:tcPr>
          <w:p w14:paraId="7EC97A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2FD80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B3856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6A55E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E26A0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1CAB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区工信局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金河工业园区管委会</w:t>
            </w:r>
          </w:p>
        </w:tc>
      </w:tr>
      <w:tr w14:paraId="2E28E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08" w:hRule="atLeast"/>
        </w:trPr>
        <w:tc>
          <w:tcPr>
            <w:tcW w:w="225" w:type="pct"/>
            <w:shd w:val="clear" w:color="auto" w:fill="auto"/>
            <w:vAlign w:val="center"/>
          </w:tcPr>
          <w:p w14:paraId="3B1D19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70</w:t>
            </w:r>
          </w:p>
        </w:tc>
        <w:tc>
          <w:tcPr>
            <w:tcW w:w="490" w:type="pct"/>
            <w:shd w:val="clear" w:color="auto" w:fill="auto"/>
            <w:vAlign w:val="center"/>
          </w:tcPr>
          <w:p w14:paraId="41EC71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香氏食品生产基地</w:t>
            </w:r>
          </w:p>
        </w:tc>
        <w:tc>
          <w:tcPr>
            <w:tcW w:w="2040" w:type="pct"/>
            <w:shd w:val="clear" w:color="auto" w:fill="auto"/>
            <w:vAlign w:val="center"/>
          </w:tcPr>
          <w:p w14:paraId="2FCE6C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租赁改造标准化厂房3808平方米，建设2个面皮洁净生产车间2000平方米，辅助设施原料库、成品库、化验室、研发中心、更衣室、配电室、党建及会议室</w:t>
            </w:r>
          </w:p>
        </w:tc>
        <w:tc>
          <w:tcPr>
            <w:tcW w:w="460" w:type="pct"/>
            <w:shd w:val="clear" w:color="auto" w:fill="auto"/>
            <w:vAlign w:val="center"/>
          </w:tcPr>
          <w:p w14:paraId="617BF4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4CA78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6CE13A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16ABCA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6F8FA2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BDBB5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D912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5" w:hRule="atLeast"/>
        </w:trPr>
        <w:tc>
          <w:tcPr>
            <w:tcW w:w="225" w:type="pct"/>
            <w:shd w:val="clear" w:color="auto" w:fill="auto"/>
            <w:vAlign w:val="center"/>
          </w:tcPr>
          <w:p w14:paraId="597DED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71</w:t>
            </w:r>
          </w:p>
        </w:tc>
        <w:tc>
          <w:tcPr>
            <w:tcW w:w="490" w:type="pct"/>
            <w:shd w:val="clear" w:color="auto" w:fill="auto"/>
            <w:vAlign w:val="center"/>
          </w:tcPr>
          <w:p w14:paraId="1A7F6E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金台区抗癌药物制剂—紫杉醇提取生产线</w:t>
            </w:r>
          </w:p>
        </w:tc>
        <w:tc>
          <w:tcPr>
            <w:tcW w:w="2040" w:type="pct"/>
            <w:shd w:val="clear" w:color="auto" w:fill="auto"/>
            <w:vAlign w:val="center"/>
          </w:tcPr>
          <w:p w14:paraId="61AA895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占地35亩，建设红豆杉紫杉醇提取生产线及相关配套设施，对紫杉醇提取、深加工进行深入研究分析，并研发生产具有高附加值的医药科技制品</w:t>
            </w:r>
          </w:p>
        </w:tc>
        <w:tc>
          <w:tcPr>
            <w:tcW w:w="460" w:type="pct"/>
            <w:shd w:val="clear" w:color="auto" w:fill="auto"/>
            <w:vAlign w:val="center"/>
          </w:tcPr>
          <w:p w14:paraId="3FDC0F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918A6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C0629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5D736C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546523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3CD5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3C6E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6" w:hRule="atLeast"/>
        </w:trPr>
        <w:tc>
          <w:tcPr>
            <w:tcW w:w="225" w:type="pct"/>
            <w:shd w:val="clear" w:color="auto" w:fill="auto"/>
            <w:vAlign w:val="center"/>
          </w:tcPr>
          <w:p w14:paraId="0EA5A2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72</w:t>
            </w:r>
          </w:p>
        </w:tc>
        <w:tc>
          <w:tcPr>
            <w:tcW w:w="490" w:type="pct"/>
            <w:shd w:val="clear" w:color="auto" w:fill="auto"/>
            <w:vAlign w:val="center"/>
          </w:tcPr>
          <w:p w14:paraId="7FF2C8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蟠龙新区尚润食品生产基地</w:t>
            </w:r>
          </w:p>
        </w:tc>
        <w:tc>
          <w:tcPr>
            <w:tcW w:w="2040" w:type="pct"/>
            <w:shd w:val="clear" w:color="auto" w:fill="auto"/>
            <w:vAlign w:val="center"/>
          </w:tcPr>
          <w:p w14:paraId="6618A4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总建设面积2100平方米，主要加工生产和销售散装食品、速冻食品、土特产、调味剂、食品添加剂、农副产品、粮油制品、肉制品等，配套食品包装箱的设计、制作、加工等</w:t>
            </w:r>
          </w:p>
        </w:tc>
        <w:tc>
          <w:tcPr>
            <w:tcW w:w="460" w:type="pct"/>
            <w:shd w:val="clear" w:color="auto" w:fill="auto"/>
            <w:vAlign w:val="center"/>
          </w:tcPr>
          <w:p w14:paraId="48635C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1B5D2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2021 </w:t>
            </w:r>
          </w:p>
        </w:tc>
        <w:tc>
          <w:tcPr>
            <w:tcW w:w="321" w:type="pct"/>
            <w:shd w:val="clear" w:color="auto" w:fill="auto"/>
            <w:vAlign w:val="center"/>
          </w:tcPr>
          <w:p w14:paraId="1B787D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47F5EE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8BAB6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A190C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D2F9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8" w:hRule="atLeast"/>
        </w:trPr>
        <w:tc>
          <w:tcPr>
            <w:tcW w:w="225" w:type="pct"/>
            <w:shd w:val="clear" w:color="auto" w:fill="auto"/>
            <w:vAlign w:val="center"/>
          </w:tcPr>
          <w:p w14:paraId="2C0CEB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w:t>
            </w:r>
          </w:p>
        </w:tc>
        <w:tc>
          <w:tcPr>
            <w:tcW w:w="490" w:type="pct"/>
            <w:shd w:val="clear" w:color="auto" w:fill="auto"/>
            <w:vAlign w:val="center"/>
          </w:tcPr>
          <w:p w14:paraId="30F2EB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蟠龙新区医疗器械产业园项目</w:t>
            </w:r>
          </w:p>
        </w:tc>
        <w:tc>
          <w:tcPr>
            <w:tcW w:w="2040" w:type="pct"/>
            <w:shd w:val="clear" w:color="auto" w:fill="auto"/>
            <w:vAlign w:val="center"/>
          </w:tcPr>
          <w:p w14:paraId="1A175CC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占地200亩，引进医疗器械等企业，医疗器械板块计划引进疫苗研发生产、ⅡⅢ类医疗器械研发、生产等</w:t>
            </w:r>
          </w:p>
        </w:tc>
        <w:tc>
          <w:tcPr>
            <w:tcW w:w="460" w:type="pct"/>
            <w:shd w:val="clear" w:color="auto" w:fill="auto"/>
            <w:vAlign w:val="center"/>
          </w:tcPr>
          <w:p w14:paraId="6143BF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1605F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BE52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7A248A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43407E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63927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7E45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FFC9A4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3F8DE08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其他（4）</w:t>
            </w:r>
          </w:p>
        </w:tc>
        <w:tc>
          <w:tcPr>
            <w:tcW w:w="2040" w:type="pct"/>
            <w:shd w:val="clear" w:color="auto" w:fill="auto"/>
            <w:vAlign w:val="center"/>
          </w:tcPr>
          <w:p w14:paraId="0B504A6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00A647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CDC01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25138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1621DC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130C2F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2EE10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00AB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6EBB38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74</w:t>
            </w:r>
          </w:p>
        </w:tc>
        <w:tc>
          <w:tcPr>
            <w:tcW w:w="490" w:type="pct"/>
            <w:shd w:val="clear" w:color="auto" w:fill="auto"/>
            <w:vAlign w:val="center"/>
          </w:tcPr>
          <w:p w14:paraId="323777F8">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金台区老工业区搬迁改造项目</w:t>
            </w:r>
          </w:p>
        </w:tc>
        <w:tc>
          <w:tcPr>
            <w:tcW w:w="2040" w:type="pct"/>
            <w:shd w:val="clear" w:color="auto" w:fill="auto"/>
            <w:vAlign w:val="center"/>
          </w:tcPr>
          <w:p w14:paraId="752F67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老旧小区及棚户区改造、基础设施建设、新产业培育发展、社会事业发展、生态环境治理、工业遗址保护等老工业区建设</w:t>
            </w:r>
          </w:p>
        </w:tc>
        <w:tc>
          <w:tcPr>
            <w:tcW w:w="460" w:type="pct"/>
            <w:shd w:val="clear" w:color="auto" w:fill="auto"/>
            <w:vAlign w:val="center"/>
          </w:tcPr>
          <w:p w14:paraId="10BCE7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E26EE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7C03F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94DB0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281D5D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DEC22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区发改局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区工信局</w:t>
            </w:r>
          </w:p>
        </w:tc>
      </w:tr>
      <w:tr w14:paraId="75181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14B778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490" w:type="pct"/>
            <w:shd w:val="clear" w:color="auto" w:fill="auto"/>
            <w:vAlign w:val="center"/>
          </w:tcPr>
          <w:p w14:paraId="04585B79">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宝鸡合力达工程车辆有限公司整体搬迁项目</w:t>
            </w:r>
          </w:p>
        </w:tc>
        <w:tc>
          <w:tcPr>
            <w:tcW w:w="2040" w:type="pct"/>
            <w:shd w:val="clear" w:color="auto" w:fill="auto"/>
            <w:vAlign w:val="center"/>
          </w:tcPr>
          <w:p w14:paraId="08C1827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计划征地50亩，新建办公场所及生产车间，企业整体搬迁</w:t>
            </w:r>
          </w:p>
        </w:tc>
        <w:tc>
          <w:tcPr>
            <w:tcW w:w="460" w:type="pct"/>
            <w:shd w:val="clear" w:color="auto" w:fill="auto"/>
            <w:vAlign w:val="center"/>
          </w:tcPr>
          <w:p w14:paraId="200D3F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73EC1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27DF29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1A89C0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1CC46A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BC28B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54812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64AFB1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76</w:t>
            </w:r>
          </w:p>
        </w:tc>
        <w:tc>
          <w:tcPr>
            <w:tcW w:w="490" w:type="pct"/>
            <w:shd w:val="clear" w:color="auto" w:fill="auto"/>
            <w:vAlign w:val="center"/>
          </w:tcPr>
          <w:p w14:paraId="7A0A84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金台区环境监测大厦建设</w:t>
            </w:r>
          </w:p>
        </w:tc>
        <w:tc>
          <w:tcPr>
            <w:tcW w:w="2040" w:type="pct"/>
            <w:shd w:val="clear" w:color="auto" w:fill="auto"/>
            <w:vAlign w:val="center"/>
          </w:tcPr>
          <w:p w14:paraId="57E44BE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占地30亩，建筑面积10000m2，建设相关环境监测、</w:t>
            </w:r>
            <w:r>
              <w:rPr>
                <w:rFonts w:hint="eastAsia" w:ascii="仿宋_GB2312" w:hAnsi="宋体" w:eastAsia="仿宋_GB2312" w:cs="宋体"/>
                <w:kern w:val="0"/>
                <w:sz w:val="20"/>
                <w:szCs w:val="20"/>
                <w:lang w:eastAsia="zh-CN"/>
              </w:rPr>
              <w:t>职业卫生监测</w:t>
            </w:r>
            <w:r>
              <w:rPr>
                <w:rFonts w:hint="eastAsia" w:ascii="仿宋_GB2312" w:hAnsi="宋体" w:eastAsia="仿宋_GB2312" w:cs="宋体"/>
                <w:kern w:val="0"/>
                <w:sz w:val="20"/>
                <w:szCs w:val="20"/>
              </w:rPr>
              <w:t>、放射卫生检测、污染治理等生产线</w:t>
            </w:r>
          </w:p>
        </w:tc>
        <w:tc>
          <w:tcPr>
            <w:tcW w:w="460" w:type="pct"/>
            <w:shd w:val="clear" w:color="auto" w:fill="auto"/>
            <w:vAlign w:val="center"/>
          </w:tcPr>
          <w:p w14:paraId="495A33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EC3E4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1EFE31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3EA34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93BD0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BF9A0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区工信局</w:t>
            </w:r>
          </w:p>
        </w:tc>
      </w:tr>
      <w:tr w14:paraId="2B190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8" w:hRule="atLeast"/>
        </w:trPr>
        <w:tc>
          <w:tcPr>
            <w:tcW w:w="225" w:type="pct"/>
            <w:shd w:val="clear" w:color="auto" w:fill="auto"/>
            <w:vAlign w:val="center"/>
          </w:tcPr>
          <w:p w14:paraId="2119AC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77</w:t>
            </w:r>
          </w:p>
        </w:tc>
        <w:tc>
          <w:tcPr>
            <w:tcW w:w="490" w:type="pct"/>
            <w:shd w:val="clear" w:color="auto" w:fill="auto"/>
            <w:vAlign w:val="center"/>
          </w:tcPr>
          <w:p w14:paraId="525F4A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蟠龙新区中央厨房产业园</w:t>
            </w:r>
          </w:p>
        </w:tc>
        <w:tc>
          <w:tcPr>
            <w:tcW w:w="2040" w:type="pct"/>
            <w:shd w:val="clear" w:color="auto" w:fill="auto"/>
            <w:vAlign w:val="center"/>
          </w:tcPr>
          <w:p w14:paraId="1555E605">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占地100亩，包括中央厨房产业区、烘焙产业区、食材配套产业区、豫菜研发中心、食品检测中心、净菜加工中心、冷库和物流配送中心等</w:t>
            </w:r>
          </w:p>
        </w:tc>
        <w:tc>
          <w:tcPr>
            <w:tcW w:w="460" w:type="pct"/>
            <w:shd w:val="clear" w:color="auto" w:fill="auto"/>
            <w:vAlign w:val="center"/>
          </w:tcPr>
          <w:p w14:paraId="42E0F2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96161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1C03CB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594C86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151507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B6D74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847B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75BC7D8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四、能源化工项目（1个）</w:t>
            </w:r>
          </w:p>
        </w:tc>
        <w:tc>
          <w:tcPr>
            <w:tcW w:w="460" w:type="pct"/>
            <w:shd w:val="clear" w:color="auto" w:fill="auto"/>
            <w:vAlign w:val="center"/>
          </w:tcPr>
          <w:p w14:paraId="360BE6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93606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5B91A7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77" w:type="pct"/>
            <w:shd w:val="clear" w:color="auto" w:fill="auto"/>
            <w:vAlign w:val="center"/>
          </w:tcPr>
          <w:p w14:paraId="7D117E6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0.18</w:t>
            </w:r>
          </w:p>
        </w:tc>
        <w:tc>
          <w:tcPr>
            <w:tcW w:w="319" w:type="pct"/>
            <w:shd w:val="clear" w:color="auto" w:fill="auto"/>
            <w:vAlign w:val="center"/>
          </w:tcPr>
          <w:p w14:paraId="6BB90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7FCBC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03EA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5" w:hRule="atLeast"/>
        </w:trPr>
        <w:tc>
          <w:tcPr>
            <w:tcW w:w="225" w:type="pct"/>
            <w:shd w:val="clear" w:color="auto" w:fill="auto"/>
            <w:vAlign w:val="center"/>
          </w:tcPr>
          <w:p w14:paraId="7AF1C6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78</w:t>
            </w:r>
          </w:p>
        </w:tc>
        <w:tc>
          <w:tcPr>
            <w:tcW w:w="490" w:type="pct"/>
            <w:shd w:val="clear" w:color="auto" w:fill="auto"/>
            <w:vAlign w:val="center"/>
          </w:tcPr>
          <w:p w14:paraId="679E82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宝鸡市天然气利用四期工程（金台区段）</w:t>
            </w:r>
          </w:p>
        </w:tc>
        <w:tc>
          <w:tcPr>
            <w:tcW w:w="2040" w:type="pct"/>
            <w:shd w:val="clear" w:color="auto" w:fill="auto"/>
            <w:vAlign w:val="center"/>
          </w:tcPr>
          <w:p w14:paraId="09EF1E6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完成光明村门站穿越渭河至滨河南路次高压管道、滨河北路至金陵河西路至金陵湾小区次高压管道、凤千路贺家崖至蟠龙塬上塬次高压管道</w:t>
            </w:r>
          </w:p>
        </w:tc>
        <w:tc>
          <w:tcPr>
            <w:tcW w:w="460" w:type="pct"/>
            <w:shd w:val="clear" w:color="auto" w:fill="auto"/>
            <w:vAlign w:val="center"/>
          </w:tcPr>
          <w:p w14:paraId="41CA48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2D398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A369C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18F869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78C5C3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07FC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东风路街道办事处</w:t>
            </w:r>
          </w:p>
        </w:tc>
      </w:tr>
      <w:tr w14:paraId="34FB7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3" w:hRule="atLeast"/>
        </w:trPr>
        <w:tc>
          <w:tcPr>
            <w:tcW w:w="2756" w:type="pct"/>
            <w:gridSpan w:val="3"/>
            <w:shd w:val="clear" w:color="auto" w:fill="auto"/>
            <w:vAlign w:val="center"/>
          </w:tcPr>
          <w:p w14:paraId="4573369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五、现代服务业项目（52个）</w:t>
            </w:r>
          </w:p>
        </w:tc>
        <w:tc>
          <w:tcPr>
            <w:tcW w:w="460" w:type="pct"/>
            <w:shd w:val="clear" w:color="auto" w:fill="auto"/>
            <w:vAlign w:val="center"/>
          </w:tcPr>
          <w:p w14:paraId="312B6B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2B7E9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EEEEF1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357.19</w:t>
            </w:r>
          </w:p>
        </w:tc>
        <w:tc>
          <w:tcPr>
            <w:tcW w:w="377" w:type="pct"/>
            <w:shd w:val="clear" w:color="auto" w:fill="auto"/>
            <w:vAlign w:val="center"/>
          </w:tcPr>
          <w:p w14:paraId="2016AA9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342.54</w:t>
            </w:r>
          </w:p>
        </w:tc>
        <w:tc>
          <w:tcPr>
            <w:tcW w:w="319" w:type="pct"/>
            <w:shd w:val="clear" w:color="auto" w:fill="auto"/>
            <w:vAlign w:val="center"/>
          </w:tcPr>
          <w:p w14:paraId="2EE9DB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9EFDE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472C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1DDF55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38CD6E3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物流（9）</w:t>
            </w:r>
          </w:p>
        </w:tc>
        <w:tc>
          <w:tcPr>
            <w:tcW w:w="2040" w:type="pct"/>
            <w:shd w:val="clear" w:color="auto" w:fill="auto"/>
            <w:vAlign w:val="center"/>
          </w:tcPr>
          <w:p w14:paraId="22D65C6A">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050A6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69120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C2BF43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77" w:type="pct"/>
            <w:shd w:val="clear" w:color="auto" w:fill="auto"/>
            <w:vAlign w:val="center"/>
          </w:tcPr>
          <w:p w14:paraId="43DAB66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31.22</w:t>
            </w:r>
          </w:p>
        </w:tc>
        <w:tc>
          <w:tcPr>
            <w:tcW w:w="319" w:type="pct"/>
            <w:shd w:val="clear" w:color="auto" w:fill="auto"/>
            <w:vAlign w:val="center"/>
          </w:tcPr>
          <w:p w14:paraId="43DCAE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13133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230F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9" w:hRule="atLeast"/>
        </w:trPr>
        <w:tc>
          <w:tcPr>
            <w:tcW w:w="225" w:type="pct"/>
            <w:shd w:val="clear" w:color="auto" w:fill="auto"/>
            <w:vAlign w:val="center"/>
          </w:tcPr>
          <w:p w14:paraId="542AB7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79</w:t>
            </w:r>
          </w:p>
        </w:tc>
        <w:tc>
          <w:tcPr>
            <w:tcW w:w="490" w:type="pct"/>
            <w:shd w:val="clear" w:color="auto" w:fill="auto"/>
            <w:vAlign w:val="center"/>
          </w:tcPr>
          <w:p w14:paraId="4BA825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宝鸡石桥物流园建设项目</w:t>
            </w:r>
          </w:p>
        </w:tc>
        <w:tc>
          <w:tcPr>
            <w:tcW w:w="2040" w:type="pct"/>
            <w:shd w:val="clear" w:color="auto" w:fill="auto"/>
            <w:vAlign w:val="center"/>
          </w:tcPr>
          <w:p w14:paraId="12B389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一期建设用地为石桥村原砖厂用地，约45亩，建设库房10000平方米，经营性用房10000平方米，办公楼2800平方米；二期为公路对面用地，约85亩，建设大型停车场20000平方米，附带商业面积3000平方米以及服务配套综合楼3800平方米</w:t>
            </w:r>
          </w:p>
        </w:tc>
        <w:tc>
          <w:tcPr>
            <w:tcW w:w="460" w:type="pct"/>
            <w:shd w:val="clear" w:color="auto" w:fill="auto"/>
            <w:vAlign w:val="center"/>
          </w:tcPr>
          <w:p w14:paraId="38FB6F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44A9A3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A242B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77" w:type="pct"/>
            <w:shd w:val="clear" w:color="auto" w:fill="auto"/>
            <w:vAlign w:val="center"/>
          </w:tcPr>
          <w:p w14:paraId="206BCD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p>
        </w:tc>
        <w:tc>
          <w:tcPr>
            <w:tcW w:w="319" w:type="pct"/>
            <w:shd w:val="clear" w:color="auto" w:fill="auto"/>
            <w:vAlign w:val="center"/>
          </w:tcPr>
          <w:p w14:paraId="308AC0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A8D6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3B9D2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8" w:hRule="atLeast"/>
        </w:trPr>
        <w:tc>
          <w:tcPr>
            <w:tcW w:w="225" w:type="pct"/>
            <w:shd w:val="clear" w:color="auto" w:fill="auto"/>
            <w:vAlign w:val="center"/>
          </w:tcPr>
          <w:p w14:paraId="68EBE9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490" w:type="pct"/>
            <w:shd w:val="clear" w:color="auto" w:fill="auto"/>
            <w:vAlign w:val="center"/>
          </w:tcPr>
          <w:p w14:paraId="457F97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金台区西部物流配送中心建设项目</w:t>
            </w:r>
          </w:p>
        </w:tc>
        <w:tc>
          <w:tcPr>
            <w:tcW w:w="2040" w:type="pct"/>
            <w:shd w:val="clear" w:color="auto" w:fill="auto"/>
            <w:vAlign w:val="center"/>
          </w:tcPr>
          <w:p w14:paraId="5F02CD5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占地100亩，建设西部大型物流配送中心</w:t>
            </w:r>
          </w:p>
        </w:tc>
        <w:tc>
          <w:tcPr>
            <w:tcW w:w="460" w:type="pct"/>
            <w:shd w:val="clear" w:color="auto" w:fill="auto"/>
            <w:vAlign w:val="center"/>
          </w:tcPr>
          <w:p w14:paraId="307152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宝平路八里村</w:t>
            </w:r>
            <w:r>
              <w:rPr>
                <w:rFonts w:hint="eastAsia" w:ascii="仿宋_GB2312" w:hAnsi="宋体" w:eastAsia="仿宋_GB2312" w:cs="宋体"/>
                <w:kern w:val="0"/>
                <w:sz w:val="20"/>
                <w:szCs w:val="20"/>
                <w:lang w:eastAsia="zh-CN"/>
              </w:rPr>
              <w:t>交叉路口</w:t>
            </w:r>
          </w:p>
        </w:tc>
        <w:tc>
          <w:tcPr>
            <w:tcW w:w="374" w:type="pct"/>
            <w:shd w:val="clear" w:color="auto" w:fill="auto"/>
            <w:vAlign w:val="center"/>
          </w:tcPr>
          <w:p w14:paraId="44F9FF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59D8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58226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B1FF3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E3F8F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群众路街道办事处</w:t>
            </w:r>
          </w:p>
        </w:tc>
      </w:tr>
      <w:tr w14:paraId="4495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6E9DC8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81</w:t>
            </w:r>
          </w:p>
        </w:tc>
        <w:tc>
          <w:tcPr>
            <w:tcW w:w="490" w:type="pct"/>
            <w:shd w:val="clear" w:color="auto" w:fill="auto"/>
            <w:vAlign w:val="center"/>
          </w:tcPr>
          <w:p w14:paraId="2D1FC0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金台区储备肉冷库建设项目</w:t>
            </w:r>
          </w:p>
        </w:tc>
        <w:tc>
          <w:tcPr>
            <w:tcW w:w="2040" w:type="pct"/>
            <w:shd w:val="clear" w:color="auto" w:fill="auto"/>
            <w:vAlign w:val="center"/>
          </w:tcPr>
          <w:p w14:paraId="713B974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新建办公楼800平方米，食品质检档案室300平方米、1500吨的冷链储备库1座，建筑面积2000平方米；配套建设给排水、暖通、消防、电力以及附属用房</w:t>
            </w:r>
          </w:p>
        </w:tc>
        <w:tc>
          <w:tcPr>
            <w:tcW w:w="460" w:type="pct"/>
            <w:shd w:val="clear" w:color="auto" w:fill="auto"/>
            <w:vAlign w:val="center"/>
          </w:tcPr>
          <w:p w14:paraId="48EFB9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1DAD31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76B6D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2796FA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7258FD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2595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29E72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1749B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490" w:type="pct"/>
            <w:shd w:val="clear" w:color="auto" w:fill="auto"/>
            <w:vAlign w:val="center"/>
          </w:tcPr>
          <w:p w14:paraId="650FF3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金台区蔬菜收储转运基地建设项目</w:t>
            </w:r>
          </w:p>
        </w:tc>
        <w:tc>
          <w:tcPr>
            <w:tcW w:w="2040" w:type="pct"/>
            <w:shd w:val="clear" w:color="auto" w:fill="auto"/>
            <w:vAlign w:val="center"/>
          </w:tcPr>
          <w:p w14:paraId="0368FD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新建1200吨的冷库1500平方米、管理用房600平方米、蔬菜收储点2000平方米；配套建设给排水 、消防、道路硬化、绿化等基础配套设施</w:t>
            </w:r>
          </w:p>
        </w:tc>
        <w:tc>
          <w:tcPr>
            <w:tcW w:w="460" w:type="pct"/>
            <w:shd w:val="clear" w:color="auto" w:fill="auto"/>
            <w:vAlign w:val="center"/>
          </w:tcPr>
          <w:p w14:paraId="756037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512655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29555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0F4424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5DAE9B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01C9B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7BE96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4" w:hRule="atLeast"/>
        </w:trPr>
        <w:tc>
          <w:tcPr>
            <w:tcW w:w="225" w:type="pct"/>
            <w:shd w:val="clear" w:color="auto" w:fill="auto"/>
            <w:vAlign w:val="center"/>
          </w:tcPr>
          <w:p w14:paraId="47EDFD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83</w:t>
            </w:r>
          </w:p>
        </w:tc>
        <w:tc>
          <w:tcPr>
            <w:tcW w:w="490" w:type="pct"/>
            <w:shd w:val="clear" w:color="auto" w:fill="auto"/>
            <w:vAlign w:val="center"/>
          </w:tcPr>
          <w:p w14:paraId="520ADC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金台区肉菜储备基地建设项目</w:t>
            </w:r>
          </w:p>
        </w:tc>
        <w:tc>
          <w:tcPr>
            <w:tcW w:w="2040" w:type="pct"/>
            <w:shd w:val="clear" w:color="auto" w:fill="auto"/>
            <w:vAlign w:val="center"/>
          </w:tcPr>
          <w:p w14:paraId="3EA3BA8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新建冷库储备库、管理用房、肉菜收储点、办公楼、食品质检档案室等；配套建设给排水、暖通、消防、电力、附属用房等设施</w:t>
            </w:r>
          </w:p>
        </w:tc>
        <w:tc>
          <w:tcPr>
            <w:tcW w:w="460" w:type="pct"/>
            <w:shd w:val="clear" w:color="auto" w:fill="auto"/>
            <w:vAlign w:val="center"/>
          </w:tcPr>
          <w:p w14:paraId="158856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金台区店子街</w:t>
            </w:r>
          </w:p>
        </w:tc>
        <w:tc>
          <w:tcPr>
            <w:tcW w:w="374" w:type="pct"/>
            <w:shd w:val="clear" w:color="auto" w:fill="auto"/>
            <w:vAlign w:val="center"/>
          </w:tcPr>
          <w:p w14:paraId="623010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39293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3CDE1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B84CE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28941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7C843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7" w:hRule="atLeast"/>
        </w:trPr>
        <w:tc>
          <w:tcPr>
            <w:tcW w:w="225" w:type="pct"/>
            <w:shd w:val="clear" w:color="auto" w:fill="auto"/>
            <w:vAlign w:val="center"/>
          </w:tcPr>
          <w:p w14:paraId="35E37E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84</w:t>
            </w:r>
          </w:p>
        </w:tc>
        <w:tc>
          <w:tcPr>
            <w:tcW w:w="490" w:type="pct"/>
            <w:shd w:val="clear" w:color="auto" w:fill="auto"/>
            <w:vAlign w:val="center"/>
          </w:tcPr>
          <w:p w14:paraId="53FD57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金河工业园国药物流配送（乐榕融扩建）项目</w:t>
            </w:r>
          </w:p>
        </w:tc>
        <w:tc>
          <w:tcPr>
            <w:tcW w:w="2040" w:type="pct"/>
            <w:shd w:val="clear" w:color="auto" w:fill="auto"/>
            <w:vAlign w:val="center"/>
          </w:tcPr>
          <w:p w14:paraId="503AC31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整合药品配送市场，建设仓储物流基地，布设配送门店，对原有系统进行技术升级</w:t>
            </w:r>
          </w:p>
        </w:tc>
        <w:tc>
          <w:tcPr>
            <w:tcW w:w="460" w:type="pct"/>
            <w:shd w:val="clear" w:color="auto" w:fill="auto"/>
            <w:vAlign w:val="center"/>
          </w:tcPr>
          <w:p w14:paraId="0A8D7F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8FBED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56D9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12640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24745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85CAB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74DA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202211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490" w:type="pct"/>
            <w:shd w:val="clear" w:color="auto" w:fill="auto"/>
            <w:vAlign w:val="center"/>
          </w:tcPr>
          <w:p w14:paraId="28415C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金台区长靖农产品批发物流配送市场项目</w:t>
            </w:r>
          </w:p>
        </w:tc>
        <w:tc>
          <w:tcPr>
            <w:tcW w:w="2040" w:type="pct"/>
            <w:shd w:val="clear" w:color="auto" w:fill="auto"/>
            <w:vAlign w:val="center"/>
          </w:tcPr>
          <w:p w14:paraId="66DAF62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占地160亩，建设现代化大型农产品批发市场</w:t>
            </w:r>
          </w:p>
        </w:tc>
        <w:tc>
          <w:tcPr>
            <w:tcW w:w="460" w:type="pct"/>
            <w:shd w:val="clear" w:color="auto" w:fill="auto"/>
            <w:vAlign w:val="center"/>
          </w:tcPr>
          <w:p w14:paraId="78D1E9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金台区北环路10号</w:t>
            </w:r>
          </w:p>
        </w:tc>
        <w:tc>
          <w:tcPr>
            <w:tcW w:w="374" w:type="pct"/>
            <w:shd w:val="clear" w:color="auto" w:fill="auto"/>
            <w:vAlign w:val="center"/>
          </w:tcPr>
          <w:p w14:paraId="198BF7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B8EC6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77" w:type="pct"/>
            <w:shd w:val="clear" w:color="auto" w:fill="auto"/>
            <w:vAlign w:val="center"/>
          </w:tcPr>
          <w:p w14:paraId="1E5A83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3.6</w:t>
            </w:r>
          </w:p>
        </w:tc>
        <w:tc>
          <w:tcPr>
            <w:tcW w:w="319" w:type="pct"/>
            <w:shd w:val="clear" w:color="auto" w:fill="auto"/>
            <w:vAlign w:val="center"/>
          </w:tcPr>
          <w:p w14:paraId="06FDEA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54AA9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6E83E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5BCDE8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86</w:t>
            </w:r>
          </w:p>
        </w:tc>
        <w:tc>
          <w:tcPr>
            <w:tcW w:w="490" w:type="pct"/>
            <w:shd w:val="clear" w:color="auto" w:fill="auto"/>
            <w:vAlign w:val="center"/>
          </w:tcPr>
          <w:p w14:paraId="4318BD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蟠龙新区冷链基地</w:t>
            </w:r>
          </w:p>
        </w:tc>
        <w:tc>
          <w:tcPr>
            <w:tcW w:w="2040" w:type="pct"/>
            <w:shd w:val="clear" w:color="auto" w:fill="auto"/>
            <w:vAlign w:val="center"/>
          </w:tcPr>
          <w:p w14:paraId="1CE00C8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建设面积10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，包括3万平方米生活居家场两栋，1.5万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冷鲜场一栋，1.5万</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生鲜场一栋</w:t>
            </w:r>
          </w:p>
        </w:tc>
        <w:tc>
          <w:tcPr>
            <w:tcW w:w="460" w:type="pct"/>
            <w:shd w:val="clear" w:color="auto" w:fill="auto"/>
            <w:vAlign w:val="center"/>
          </w:tcPr>
          <w:p w14:paraId="58254D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11B37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8587B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00E61B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5E6303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739D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A421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524DFA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87</w:t>
            </w:r>
          </w:p>
        </w:tc>
        <w:tc>
          <w:tcPr>
            <w:tcW w:w="490" w:type="pct"/>
            <w:shd w:val="clear" w:color="auto" w:fill="auto"/>
            <w:vAlign w:val="center"/>
          </w:tcPr>
          <w:p w14:paraId="1D02D5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蟠龙新区物流枢纽项目</w:t>
            </w:r>
          </w:p>
        </w:tc>
        <w:tc>
          <w:tcPr>
            <w:tcW w:w="2040" w:type="pct"/>
            <w:shd w:val="clear" w:color="auto" w:fill="auto"/>
            <w:vAlign w:val="center"/>
          </w:tcPr>
          <w:p w14:paraId="6A9A30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规划位于新区北绕城高速出口，计划占地500亩，以实体平台为基础，信息化为核心，物流金融为提升，整合社会物流资源，开展多式联运，抓好货运配送及物流基地建设，形成物流枢纽集聚效应，打造全国货物集散中心</w:t>
            </w:r>
          </w:p>
        </w:tc>
        <w:tc>
          <w:tcPr>
            <w:tcW w:w="460" w:type="pct"/>
            <w:shd w:val="clear" w:color="auto" w:fill="auto"/>
            <w:vAlign w:val="center"/>
          </w:tcPr>
          <w:p w14:paraId="45EBA2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73956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79F0C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4F8912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2777F9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7CB1D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D7EA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0D5352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64E68F5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旅游（12）</w:t>
            </w:r>
          </w:p>
        </w:tc>
        <w:tc>
          <w:tcPr>
            <w:tcW w:w="2040" w:type="pct"/>
            <w:shd w:val="clear" w:color="auto" w:fill="auto"/>
            <w:vAlign w:val="center"/>
          </w:tcPr>
          <w:p w14:paraId="23C0D260">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215F55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25C7D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D55279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48.75</w:t>
            </w:r>
          </w:p>
        </w:tc>
        <w:tc>
          <w:tcPr>
            <w:tcW w:w="377" w:type="pct"/>
            <w:shd w:val="clear" w:color="auto" w:fill="auto"/>
            <w:vAlign w:val="center"/>
          </w:tcPr>
          <w:p w14:paraId="4331404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46.6</w:t>
            </w:r>
          </w:p>
        </w:tc>
        <w:tc>
          <w:tcPr>
            <w:tcW w:w="319" w:type="pct"/>
            <w:shd w:val="clear" w:color="auto" w:fill="auto"/>
            <w:vAlign w:val="center"/>
          </w:tcPr>
          <w:p w14:paraId="288E71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57F49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7DBEB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67" w:hRule="atLeast"/>
        </w:trPr>
        <w:tc>
          <w:tcPr>
            <w:tcW w:w="225" w:type="pct"/>
            <w:shd w:val="clear" w:color="auto" w:fill="auto"/>
            <w:vAlign w:val="center"/>
          </w:tcPr>
          <w:p w14:paraId="4226E4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88</w:t>
            </w:r>
          </w:p>
        </w:tc>
        <w:tc>
          <w:tcPr>
            <w:tcW w:w="490" w:type="pct"/>
            <w:shd w:val="clear" w:color="auto" w:fill="auto"/>
            <w:vAlign w:val="center"/>
          </w:tcPr>
          <w:p w14:paraId="78A537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宝鸡市长乐塬抗战工业遗址项目</w:t>
            </w:r>
          </w:p>
        </w:tc>
        <w:tc>
          <w:tcPr>
            <w:tcW w:w="2040" w:type="pct"/>
            <w:shd w:val="clear" w:color="auto" w:fill="auto"/>
            <w:vAlign w:val="center"/>
          </w:tcPr>
          <w:p w14:paraId="1D2A76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主要构建工合之光、双创天地、荣耀家园三组团，改造申新办公楼、薄壳车间、窑洞车间等遗址，打造工业文化研学基地、爱国主义教育基地和企业团建基地，建设包含“忠、孝、仁、爱、信、义、和、平”含义的“一街八巷”特色街区；配套游客接待中心、停车场、给排水、电力电缆、热力管网等建设</w:t>
            </w:r>
          </w:p>
        </w:tc>
        <w:tc>
          <w:tcPr>
            <w:tcW w:w="460" w:type="pct"/>
            <w:shd w:val="clear" w:color="auto" w:fill="auto"/>
            <w:vAlign w:val="center"/>
          </w:tcPr>
          <w:p w14:paraId="47B8D1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新风巷7号</w:t>
            </w:r>
          </w:p>
        </w:tc>
        <w:tc>
          <w:tcPr>
            <w:tcW w:w="374" w:type="pct"/>
            <w:shd w:val="clear" w:color="auto" w:fill="auto"/>
            <w:vAlign w:val="center"/>
          </w:tcPr>
          <w:p w14:paraId="55580A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374D4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33FA9E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0DD5CB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E916F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37E2F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2BCCE1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89</w:t>
            </w:r>
          </w:p>
        </w:tc>
        <w:tc>
          <w:tcPr>
            <w:tcW w:w="490" w:type="pct"/>
            <w:shd w:val="clear" w:color="auto" w:fill="auto"/>
            <w:vAlign w:val="center"/>
          </w:tcPr>
          <w:p w14:paraId="15E8C2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金台区宝陵工坊文化旅游建设项目</w:t>
            </w:r>
          </w:p>
        </w:tc>
        <w:tc>
          <w:tcPr>
            <w:tcW w:w="2040" w:type="pct"/>
            <w:shd w:val="clear" w:color="auto" w:fill="auto"/>
            <w:vAlign w:val="center"/>
          </w:tcPr>
          <w:p w14:paraId="1BCA85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建设游客服务接待中心，工坊博物馆、展览馆、窑洞民宿酒店、特色餐厅、美食市场街、互动游乐体验区、主题酒吧、餐吧，游乐场等，建设道路、照明、绿化等配套工程</w:t>
            </w:r>
          </w:p>
        </w:tc>
        <w:tc>
          <w:tcPr>
            <w:tcW w:w="460" w:type="pct"/>
            <w:shd w:val="clear" w:color="auto" w:fill="auto"/>
            <w:vAlign w:val="center"/>
          </w:tcPr>
          <w:p w14:paraId="08F6B3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38ED93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7620BD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4C1A57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0D7F4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613FAC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7AAB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6234B1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90</w:t>
            </w:r>
          </w:p>
        </w:tc>
        <w:tc>
          <w:tcPr>
            <w:tcW w:w="490" w:type="pct"/>
            <w:shd w:val="clear" w:color="auto" w:fill="auto"/>
            <w:vAlign w:val="center"/>
          </w:tcPr>
          <w:p w14:paraId="39ABBD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金台区玉池公社休闲旅游项目</w:t>
            </w:r>
          </w:p>
        </w:tc>
        <w:tc>
          <w:tcPr>
            <w:tcW w:w="2040" w:type="pct"/>
            <w:shd w:val="clear" w:color="auto" w:fill="auto"/>
            <w:vAlign w:val="center"/>
          </w:tcPr>
          <w:p w14:paraId="65F763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占地2000亩，种植经济作物高粱、荞麦、莲菜等；野狼谷动物养殖园等；农家小院、民宿等建设；扩建知青集市、生态鹅场、停车场及移民搬迁房等</w:t>
            </w:r>
          </w:p>
        </w:tc>
        <w:tc>
          <w:tcPr>
            <w:tcW w:w="460" w:type="pct"/>
            <w:shd w:val="clear" w:color="auto" w:fill="auto"/>
            <w:vAlign w:val="center"/>
          </w:tcPr>
          <w:p w14:paraId="2B28F5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493514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2017-2022</w:t>
            </w:r>
          </w:p>
        </w:tc>
        <w:tc>
          <w:tcPr>
            <w:tcW w:w="321" w:type="pct"/>
            <w:shd w:val="clear" w:color="auto" w:fill="auto"/>
            <w:vAlign w:val="center"/>
          </w:tcPr>
          <w:p w14:paraId="7EC7D1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416460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29E11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AF1D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2A285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6" w:hRule="atLeast"/>
        </w:trPr>
        <w:tc>
          <w:tcPr>
            <w:tcW w:w="225" w:type="pct"/>
            <w:shd w:val="clear" w:color="auto" w:fill="auto"/>
            <w:vAlign w:val="center"/>
          </w:tcPr>
          <w:p w14:paraId="4B6542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91</w:t>
            </w:r>
          </w:p>
        </w:tc>
        <w:tc>
          <w:tcPr>
            <w:tcW w:w="490" w:type="pct"/>
            <w:shd w:val="clear" w:color="auto" w:fill="auto"/>
            <w:vAlign w:val="center"/>
          </w:tcPr>
          <w:p w14:paraId="0DBBF3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金台区天象公园二期项目</w:t>
            </w:r>
          </w:p>
        </w:tc>
        <w:tc>
          <w:tcPr>
            <w:tcW w:w="2040" w:type="pct"/>
            <w:shd w:val="clear" w:color="auto" w:fill="auto"/>
            <w:vAlign w:val="center"/>
          </w:tcPr>
          <w:p w14:paraId="4B56159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占地80亩，以气象科普教育为重点，配套建设气象展览馆、游客服务中心、党群服务中心等</w:t>
            </w:r>
          </w:p>
        </w:tc>
        <w:tc>
          <w:tcPr>
            <w:tcW w:w="460" w:type="pct"/>
            <w:shd w:val="clear" w:color="auto" w:fill="auto"/>
            <w:vAlign w:val="center"/>
          </w:tcPr>
          <w:p w14:paraId="66A3E6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49F0B3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9CA76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560FF5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0D35FB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68CE8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西府天地管委办 </w:t>
            </w:r>
            <w:r>
              <w:rPr>
                <w:rFonts w:hint="eastAsia" w:ascii="仿宋_GB2312" w:hAnsi="宋体" w:eastAsia="仿宋_GB2312" w:cs="宋体"/>
                <w:kern w:val="0"/>
                <w:sz w:val="20"/>
                <w:szCs w:val="20"/>
              </w:rPr>
              <w:t xml:space="preserve">  </w:t>
            </w:r>
          </w:p>
          <w:p w14:paraId="0CC2F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19361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1" w:hRule="atLeast"/>
        </w:trPr>
        <w:tc>
          <w:tcPr>
            <w:tcW w:w="225" w:type="pct"/>
            <w:shd w:val="clear" w:color="auto" w:fill="auto"/>
            <w:vAlign w:val="center"/>
          </w:tcPr>
          <w:p w14:paraId="14A75D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490" w:type="pct"/>
            <w:shd w:val="clear" w:color="auto" w:fill="auto"/>
            <w:vAlign w:val="center"/>
          </w:tcPr>
          <w:p w14:paraId="7F9A0F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金台区陵原休闲农业观光园项目</w:t>
            </w:r>
          </w:p>
        </w:tc>
        <w:tc>
          <w:tcPr>
            <w:tcW w:w="2040" w:type="pct"/>
            <w:shd w:val="clear" w:color="auto" w:fill="auto"/>
            <w:vAlign w:val="center"/>
          </w:tcPr>
          <w:p w14:paraId="781D67A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规划3000亩，建设300亩生态循环养殖区、1850亩生态种植区、850亩休闲农业观光园，配套建设管理用房、浇灌系统、基础设施等</w:t>
            </w:r>
          </w:p>
        </w:tc>
        <w:tc>
          <w:tcPr>
            <w:tcW w:w="460" w:type="pct"/>
            <w:shd w:val="clear" w:color="auto" w:fill="auto"/>
            <w:vAlign w:val="center"/>
          </w:tcPr>
          <w:p w14:paraId="13BDDF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金河镇陵原村</w:t>
            </w:r>
          </w:p>
        </w:tc>
        <w:tc>
          <w:tcPr>
            <w:tcW w:w="374" w:type="pct"/>
            <w:shd w:val="clear" w:color="auto" w:fill="auto"/>
            <w:vAlign w:val="center"/>
          </w:tcPr>
          <w:p w14:paraId="7C02AC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069A5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686CD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0241A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D468B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63A5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43" w:hRule="atLeast"/>
        </w:trPr>
        <w:tc>
          <w:tcPr>
            <w:tcW w:w="225" w:type="pct"/>
            <w:shd w:val="clear" w:color="auto" w:fill="auto"/>
            <w:vAlign w:val="center"/>
          </w:tcPr>
          <w:p w14:paraId="76027E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93</w:t>
            </w:r>
          </w:p>
        </w:tc>
        <w:tc>
          <w:tcPr>
            <w:tcW w:w="490" w:type="pct"/>
            <w:shd w:val="clear" w:color="auto" w:fill="auto"/>
            <w:vAlign w:val="center"/>
          </w:tcPr>
          <w:p w14:paraId="436ECD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金台区胜利塬田园综合体</w:t>
            </w:r>
            <w:r>
              <w:rPr>
                <w:rFonts w:hint="eastAsia" w:ascii="仿宋_GB2312" w:hAnsi="宋体" w:eastAsia="仿宋_GB2312" w:cs="宋体"/>
                <w:kern w:val="0"/>
                <w:sz w:val="20"/>
                <w:szCs w:val="20"/>
              </w:rPr>
              <w:t>项目</w:t>
            </w:r>
          </w:p>
        </w:tc>
        <w:tc>
          <w:tcPr>
            <w:tcW w:w="2040" w:type="pct"/>
            <w:shd w:val="clear" w:color="auto" w:fill="auto"/>
            <w:vAlign w:val="center"/>
          </w:tcPr>
          <w:p w14:paraId="73E07DB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占地1200亩，建筑面积20万平方米，主要建设现代农业、文化旅游相关配套设施等</w:t>
            </w:r>
          </w:p>
        </w:tc>
        <w:tc>
          <w:tcPr>
            <w:tcW w:w="460" w:type="pct"/>
            <w:shd w:val="clear" w:color="auto" w:fill="auto"/>
            <w:vAlign w:val="center"/>
          </w:tcPr>
          <w:p w14:paraId="4F7196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0C647F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6B674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77" w:type="pct"/>
            <w:shd w:val="clear" w:color="auto" w:fill="auto"/>
            <w:vAlign w:val="center"/>
          </w:tcPr>
          <w:p w14:paraId="61B346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319" w:type="pct"/>
            <w:shd w:val="clear" w:color="auto" w:fill="auto"/>
            <w:vAlign w:val="center"/>
          </w:tcPr>
          <w:p w14:paraId="1DEE68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3DCC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0FB54C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3A07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4" w:hRule="atLeast"/>
        </w:trPr>
        <w:tc>
          <w:tcPr>
            <w:tcW w:w="225" w:type="pct"/>
            <w:shd w:val="clear" w:color="auto" w:fill="auto"/>
            <w:vAlign w:val="center"/>
          </w:tcPr>
          <w:p w14:paraId="08FB7D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490" w:type="pct"/>
            <w:shd w:val="clear" w:color="auto" w:fill="auto"/>
            <w:vAlign w:val="center"/>
          </w:tcPr>
          <w:p w14:paraId="327589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金台区胜利塬生态康养项目</w:t>
            </w:r>
          </w:p>
        </w:tc>
        <w:tc>
          <w:tcPr>
            <w:tcW w:w="2040" w:type="pct"/>
            <w:shd w:val="clear" w:color="auto" w:fill="auto"/>
            <w:vAlign w:val="center"/>
          </w:tcPr>
          <w:p w14:paraId="6F5A25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拟建设成为集度假、休闲、旅游、民俗、游乐及生态人居为一体的康养文化旅游地、国家生态田园示范区</w:t>
            </w:r>
          </w:p>
        </w:tc>
        <w:tc>
          <w:tcPr>
            <w:tcW w:w="460" w:type="pct"/>
            <w:shd w:val="clear" w:color="auto" w:fill="auto"/>
            <w:vAlign w:val="center"/>
          </w:tcPr>
          <w:p w14:paraId="1AA3A4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097D08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EB652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5607E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0EC8C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BC3D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477FA3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61877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8382D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490" w:type="pct"/>
            <w:shd w:val="clear" w:color="auto" w:fill="auto"/>
            <w:vAlign w:val="center"/>
          </w:tcPr>
          <w:p w14:paraId="627936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金台区蟠胜索道旅游项目</w:t>
            </w:r>
          </w:p>
        </w:tc>
        <w:tc>
          <w:tcPr>
            <w:tcW w:w="2040" w:type="pct"/>
            <w:shd w:val="clear" w:color="auto" w:fill="auto"/>
            <w:vAlign w:val="center"/>
          </w:tcPr>
          <w:p w14:paraId="13AC439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架设索道2400米，高差173米，连接胜利塬和蟠龙塬</w:t>
            </w:r>
          </w:p>
        </w:tc>
        <w:tc>
          <w:tcPr>
            <w:tcW w:w="460" w:type="pct"/>
            <w:shd w:val="clear" w:color="auto" w:fill="auto"/>
            <w:vAlign w:val="center"/>
          </w:tcPr>
          <w:p w14:paraId="155FF4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金台区蟠龙塬蟠龙山村</w:t>
            </w:r>
          </w:p>
          <w:p w14:paraId="1933E5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胜利塬东侧</w:t>
            </w:r>
          </w:p>
        </w:tc>
        <w:tc>
          <w:tcPr>
            <w:tcW w:w="374" w:type="pct"/>
            <w:shd w:val="clear" w:color="auto" w:fill="auto"/>
            <w:vAlign w:val="center"/>
          </w:tcPr>
          <w:p w14:paraId="605208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4728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677AA4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373B1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A0657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00F56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6" w:hRule="atLeast"/>
        </w:trPr>
        <w:tc>
          <w:tcPr>
            <w:tcW w:w="225" w:type="pct"/>
            <w:shd w:val="clear" w:color="auto" w:fill="auto"/>
            <w:vAlign w:val="center"/>
          </w:tcPr>
          <w:p w14:paraId="22A169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96</w:t>
            </w:r>
          </w:p>
        </w:tc>
        <w:tc>
          <w:tcPr>
            <w:tcW w:w="490" w:type="pct"/>
            <w:shd w:val="clear" w:color="auto" w:fill="auto"/>
            <w:vAlign w:val="center"/>
          </w:tcPr>
          <w:p w14:paraId="0E56FE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古陈仓城遗址公园开发建设项目</w:t>
            </w:r>
          </w:p>
        </w:tc>
        <w:tc>
          <w:tcPr>
            <w:tcW w:w="2040" w:type="pct"/>
            <w:shd w:val="clear" w:color="auto" w:fill="auto"/>
            <w:vAlign w:val="center"/>
          </w:tcPr>
          <w:p w14:paraId="49C4D29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占地约495亩，总建筑面积33万平方米。主要建设主城区、商业街区、花海公园、考古模拟体验区、“</w:t>
            </w:r>
            <w:r>
              <w:rPr>
                <w:rFonts w:hint="eastAsia" w:ascii="微软雅黑" w:hAnsi="微软雅黑" w:eastAsia="微软雅黑" w:cs="微软雅黑"/>
                <w:kern w:val="0"/>
                <w:sz w:val="20"/>
                <w:szCs w:val="20"/>
              </w:rPr>
              <w:t>汧</w:t>
            </w:r>
            <w:r>
              <w:rPr>
                <w:rFonts w:hint="eastAsia" w:ascii="仿宋_GB2312" w:hAnsi="仿宋_GB2312" w:eastAsia="仿宋_GB2312" w:cs="仿宋_GB2312"/>
                <w:kern w:val="0"/>
                <w:sz w:val="20"/>
                <w:szCs w:val="20"/>
              </w:rPr>
              <w:t>渭之会”遗址广场等五个板块，配套建设生态停车场、供排水、道路、绿化、厕所等设施</w:t>
            </w:r>
          </w:p>
        </w:tc>
        <w:tc>
          <w:tcPr>
            <w:tcW w:w="460" w:type="pct"/>
            <w:shd w:val="clear" w:color="auto" w:fill="auto"/>
            <w:vAlign w:val="center"/>
          </w:tcPr>
          <w:p w14:paraId="3C3576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w:t>
            </w:r>
          </w:p>
        </w:tc>
        <w:tc>
          <w:tcPr>
            <w:tcW w:w="374" w:type="pct"/>
            <w:shd w:val="clear" w:color="auto" w:fill="auto"/>
            <w:vAlign w:val="center"/>
          </w:tcPr>
          <w:p w14:paraId="0E86E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835C5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1F7EC7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40F0B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53C66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区招商局</w:t>
            </w:r>
          </w:p>
        </w:tc>
      </w:tr>
      <w:tr w14:paraId="390F9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72037E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97</w:t>
            </w:r>
          </w:p>
        </w:tc>
        <w:tc>
          <w:tcPr>
            <w:tcW w:w="490" w:type="pct"/>
            <w:shd w:val="clear" w:color="auto" w:fill="auto"/>
            <w:vAlign w:val="center"/>
          </w:tcPr>
          <w:p w14:paraId="4E9EA3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宝鸡全影汇全域旅游展示中心项目</w:t>
            </w:r>
          </w:p>
        </w:tc>
        <w:tc>
          <w:tcPr>
            <w:tcW w:w="2040" w:type="pct"/>
            <w:shd w:val="clear" w:color="auto" w:fill="auto"/>
            <w:vAlign w:val="center"/>
          </w:tcPr>
          <w:p w14:paraId="08473C1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建设规模5000平方，内容以VR技术及全息多媒体等技术创新手段，全方位展示宝鸡全域旅游各景点</w:t>
            </w:r>
          </w:p>
        </w:tc>
        <w:tc>
          <w:tcPr>
            <w:tcW w:w="460" w:type="pct"/>
            <w:shd w:val="clear" w:color="auto" w:fill="auto"/>
            <w:vAlign w:val="center"/>
          </w:tcPr>
          <w:p w14:paraId="3A9856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35BD8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98C8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71D63E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4A51A2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FE03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区文旅局</w:t>
            </w:r>
          </w:p>
        </w:tc>
      </w:tr>
      <w:tr w14:paraId="65F2A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2A3106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98</w:t>
            </w:r>
          </w:p>
        </w:tc>
        <w:tc>
          <w:tcPr>
            <w:tcW w:w="490" w:type="pct"/>
            <w:shd w:val="clear" w:color="auto" w:fill="auto"/>
            <w:vAlign w:val="center"/>
          </w:tcPr>
          <w:p w14:paraId="367229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金台区蟠龙山村党氏文化旅游项目</w:t>
            </w:r>
          </w:p>
        </w:tc>
        <w:tc>
          <w:tcPr>
            <w:tcW w:w="2040" w:type="pct"/>
            <w:shd w:val="clear" w:color="auto" w:fill="auto"/>
            <w:vAlign w:val="center"/>
          </w:tcPr>
          <w:p w14:paraId="38CBE98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建设观景台、党氏主题文化街、祠堂、缆车、广场、游客中心、公厕等，配套建设给排水，电力、暖通及消防设施等</w:t>
            </w:r>
          </w:p>
        </w:tc>
        <w:tc>
          <w:tcPr>
            <w:tcW w:w="460" w:type="pct"/>
            <w:shd w:val="clear" w:color="auto" w:fill="auto"/>
            <w:vAlign w:val="center"/>
          </w:tcPr>
          <w:p w14:paraId="5C14B1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31B493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745C1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4CA8F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635E88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D665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p w14:paraId="0E1B74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r>
      <w:tr w14:paraId="1DF34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4A269F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99</w:t>
            </w:r>
          </w:p>
        </w:tc>
        <w:tc>
          <w:tcPr>
            <w:tcW w:w="490" w:type="pct"/>
            <w:shd w:val="clear" w:color="auto" w:fill="auto"/>
            <w:vAlign w:val="center"/>
          </w:tcPr>
          <w:p w14:paraId="43EE59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金台区胜利塬片区生活污水处理厂项目</w:t>
            </w:r>
          </w:p>
        </w:tc>
        <w:tc>
          <w:tcPr>
            <w:tcW w:w="2040" w:type="pct"/>
            <w:shd w:val="clear" w:color="auto" w:fill="auto"/>
            <w:vAlign w:val="center"/>
          </w:tcPr>
          <w:p w14:paraId="18C0327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总用地约21亩，对现污水处理站扩建为日处理规模2000立方米/天，建设污水收集管网15公里及配套设施</w:t>
            </w:r>
          </w:p>
        </w:tc>
        <w:tc>
          <w:tcPr>
            <w:tcW w:w="460" w:type="pct"/>
            <w:shd w:val="clear" w:color="auto" w:fill="auto"/>
            <w:vAlign w:val="center"/>
          </w:tcPr>
          <w:p w14:paraId="7733D7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44A847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5E62F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F563F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D751D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1011F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620087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2626C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711F1B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07D10F0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金融（1）</w:t>
            </w:r>
          </w:p>
        </w:tc>
        <w:tc>
          <w:tcPr>
            <w:tcW w:w="2040" w:type="pct"/>
            <w:shd w:val="clear" w:color="auto" w:fill="auto"/>
            <w:vAlign w:val="center"/>
          </w:tcPr>
          <w:p w14:paraId="65E4843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46724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0D901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B4D76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561B67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4E9B12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34A6A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9DC2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0961D1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490" w:type="pct"/>
            <w:shd w:val="clear" w:color="auto" w:fill="auto"/>
            <w:vAlign w:val="center"/>
          </w:tcPr>
          <w:p w14:paraId="72E85A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蟠龙金融大厦项目</w:t>
            </w:r>
          </w:p>
        </w:tc>
        <w:tc>
          <w:tcPr>
            <w:tcW w:w="2040" w:type="pct"/>
            <w:shd w:val="clear" w:color="auto" w:fill="auto"/>
            <w:vAlign w:val="center"/>
          </w:tcPr>
          <w:p w14:paraId="2CC2256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总建筑面积10万平方米，引入银行、证券、融资租赁、财务咨询、保险类等</w:t>
            </w:r>
          </w:p>
        </w:tc>
        <w:tc>
          <w:tcPr>
            <w:tcW w:w="460" w:type="pct"/>
            <w:shd w:val="clear" w:color="auto" w:fill="auto"/>
            <w:vAlign w:val="center"/>
          </w:tcPr>
          <w:p w14:paraId="66CD56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14CB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EAE6B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7811BA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6B4E3B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91365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772654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71F5F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905A04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（四）</w:t>
            </w:r>
          </w:p>
        </w:tc>
        <w:tc>
          <w:tcPr>
            <w:tcW w:w="490" w:type="pct"/>
            <w:shd w:val="clear" w:color="auto" w:fill="auto"/>
            <w:vAlign w:val="center"/>
          </w:tcPr>
          <w:p w14:paraId="6560AA7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文化产业（15）</w:t>
            </w:r>
          </w:p>
        </w:tc>
        <w:tc>
          <w:tcPr>
            <w:tcW w:w="2040" w:type="pct"/>
            <w:shd w:val="clear" w:color="auto" w:fill="auto"/>
            <w:vAlign w:val="center"/>
          </w:tcPr>
          <w:p w14:paraId="655DE5B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5AA137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135B6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0CC2FD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119.1</w:t>
            </w:r>
          </w:p>
        </w:tc>
        <w:tc>
          <w:tcPr>
            <w:tcW w:w="377" w:type="pct"/>
            <w:shd w:val="clear" w:color="auto" w:fill="auto"/>
            <w:vAlign w:val="center"/>
          </w:tcPr>
          <w:p w14:paraId="7B0165E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112.6</w:t>
            </w:r>
          </w:p>
        </w:tc>
        <w:tc>
          <w:tcPr>
            <w:tcW w:w="319" w:type="pct"/>
            <w:shd w:val="clear" w:color="auto" w:fill="auto"/>
            <w:vAlign w:val="center"/>
          </w:tcPr>
          <w:p w14:paraId="65845C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20FDA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AF44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75A52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101</w:t>
            </w:r>
          </w:p>
        </w:tc>
        <w:tc>
          <w:tcPr>
            <w:tcW w:w="490" w:type="pct"/>
            <w:shd w:val="clear" w:color="auto" w:fill="auto"/>
            <w:vAlign w:val="center"/>
          </w:tcPr>
          <w:p w14:paraId="3D56FC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金台文化艺术中心项目</w:t>
            </w:r>
          </w:p>
        </w:tc>
        <w:tc>
          <w:tcPr>
            <w:tcW w:w="2040" w:type="pct"/>
            <w:shd w:val="clear" w:color="auto" w:fill="auto"/>
            <w:vAlign w:val="center"/>
          </w:tcPr>
          <w:p w14:paraId="7061715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0.8万平方米，总建筑面积5万平方米。主要建设内容包括金台区文化馆；金台区图书馆；金台区博物馆(包括非遗馆、金台区展览馆、文物库房)；金台大剧院、金台区数字电影放映管理站、金台区斗鸡影剧院等文化服务单位</w:t>
            </w:r>
          </w:p>
        </w:tc>
        <w:tc>
          <w:tcPr>
            <w:tcW w:w="460" w:type="pct"/>
            <w:shd w:val="clear" w:color="auto" w:fill="auto"/>
            <w:vAlign w:val="center"/>
          </w:tcPr>
          <w:p w14:paraId="3C123B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75FA1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74EF29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F7AD3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6B175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BE2BC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区文旅局</w:t>
            </w:r>
          </w:p>
        </w:tc>
      </w:tr>
      <w:tr w14:paraId="08339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8" w:hRule="atLeast"/>
        </w:trPr>
        <w:tc>
          <w:tcPr>
            <w:tcW w:w="225" w:type="pct"/>
            <w:shd w:val="clear" w:color="auto" w:fill="auto"/>
            <w:vAlign w:val="center"/>
          </w:tcPr>
          <w:p w14:paraId="55AA7F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102</w:t>
            </w:r>
          </w:p>
        </w:tc>
        <w:tc>
          <w:tcPr>
            <w:tcW w:w="490" w:type="pct"/>
            <w:shd w:val="clear" w:color="auto" w:fill="auto"/>
            <w:vAlign w:val="center"/>
          </w:tcPr>
          <w:p w14:paraId="618BE0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金台区东岭文化产业园示范区项目</w:t>
            </w:r>
          </w:p>
        </w:tc>
        <w:tc>
          <w:tcPr>
            <w:tcW w:w="2040" w:type="pct"/>
            <w:shd w:val="clear" w:color="auto" w:fill="auto"/>
            <w:vAlign w:val="center"/>
          </w:tcPr>
          <w:p w14:paraId="172EAD3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2.9万平方米。以打造宝鸡市首家不可复制性LOFT创新型办公空间为目标，主要为“互联网+”相关行业及工业设计、广告影视动漫、文化传媒、艺术培训、教育培训、文化投资、会议展览等创新型文化类企业孵化产业园</w:t>
            </w:r>
          </w:p>
        </w:tc>
        <w:tc>
          <w:tcPr>
            <w:tcW w:w="460" w:type="pct"/>
            <w:shd w:val="clear" w:color="auto" w:fill="auto"/>
            <w:vAlign w:val="center"/>
          </w:tcPr>
          <w:p w14:paraId="56D4FB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金台区中央金融文化商务区金融广场B座</w:t>
            </w:r>
          </w:p>
        </w:tc>
        <w:tc>
          <w:tcPr>
            <w:tcW w:w="374" w:type="pct"/>
            <w:shd w:val="clear" w:color="auto" w:fill="auto"/>
            <w:vAlign w:val="center"/>
          </w:tcPr>
          <w:p w14:paraId="751B25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4805E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2E90EA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00C65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3D506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区招商局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1BC46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343E27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103</w:t>
            </w:r>
          </w:p>
        </w:tc>
        <w:tc>
          <w:tcPr>
            <w:tcW w:w="490" w:type="pct"/>
            <w:shd w:val="clear" w:color="auto" w:fill="auto"/>
            <w:vAlign w:val="center"/>
          </w:tcPr>
          <w:p w14:paraId="5AF026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金台区北首岭遗址公园建设项目</w:t>
            </w:r>
          </w:p>
        </w:tc>
        <w:tc>
          <w:tcPr>
            <w:tcW w:w="2040" w:type="pct"/>
            <w:shd w:val="clear" w:color="auto" w:fill="auto"/>
            <w:vAlign w:val="center"/>
          </w:tcPr>
          <w:p w14:paraId="43044A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拟建一座以仰韶文化为主体，以遗址博物馆为支撑，以原始部落遗址、遗物为内容的遗址公园</w:t>
            </w:r>
          </w:p>
        </w:tc>
        <w:tc>
          <w:tcPr>
            <w:tcW w:w="460" w:type="pct"/>
            <w:shd w:val="clear" w:color="auto" w:fill="auto"/>
            <w:vAlign w:val="center"/>
          </w:tcPr>
          <w:p w14:paraId="7424F6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金陵河西岸</w:t>
            </w:r>
          </w:p>
        </w:tc>
        <w:tc>
          <w:tcPr>
            <w:tcW w:w="374" w:type="pct"/>
            <w:shd w:val="clear" w:color="auto" w:fill="auto"/>
            <w:vAlign w:val="center"/>
          </w:tcPr>
          <w:p w14:paraId="2008F3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0AB5D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D9D14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0CA109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9F3C4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北首岭文化旅游产业发展管理委员会</w:t>
            </w:r>
          </w:p>
        </w:tc>
      </w:tr>
      <w:tr w14:paraId="78690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358A97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104</w:t>
            </w:r>
          </w:p>
        </w:tc>
        <w:tc>
          <w:tcPr>
            <w:tcW w:w="490" w:type="pct"/>
            <w:shd w:val="clear" w:color="auto" w:fill="auto"/>
            <w:vAlign w:val="center"/>
          </w:tcPr>
          <w:p w14:paraId="793366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宝鸡军事博物馆及公园项目</w:t>
            </w:r>
          </w:p>
        </w:tc>
        <w:tc>
          <w:tcPr>
            <w:tcW w:w="2040" w:type="pct"/>
            <w:shd w:val="clear" w:color="auto" w:fill="auto"/>
            <w:vAlign w:val="center"/>
          </w:tcPr>
          <w:p w14:paraId="5AB866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占地300亩，主要建设军事装备展示区，军事实景表演区、装备模拟体验区、军事博物馆、军事文化旅游区、军事文化培训区等</w:t>
            </w:r>
          </w:p>
        </w:tc>
        <w:tc>
          <w:tcPr>
            <w:tcW w:w="460" w:type="pct"/>
            <w:shd w:val="clear" w:color="auto" w:fill="auto"/>
            <w:vAlign w:val="center"/>
          </w:tcPr>
          <w:p w14:paraId="49868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p>
        </w:tc>
        <w:tc>
          <w:tcPr>
            <w:tcW w:w="374" w:type="pct"/>
            <w:shd w:val="clear" w:color="auto" w:fill="auto"/>
            <w:vAlign w:val="center"/>
          </w:tcPr>
          <w:p w14:paraId="681FA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D2252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30B7C6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2E89E9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7B6ED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区气象局</w:t>
            </w:r>
          </w:p>
        </w:tc>
      </w:tr>
      <w:tr w14:paraId="21B81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62D647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490" w:type="pct"/>
            <w:shd w:val="clear" w:color="auto" w:fill="auto"/>
            <w:vAlign w:val="center"/>
          </w:tcPr>
          <w:p w14:paraId="023419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金台区一区一书城，一街一书吧项目</w:t>
            </w:r>
          </w:p>
        </w:tc>
        <w:tc>
          <w:tcPr>
            <w:tcW w:w="2040" w:type="pct"/>
            <w:shd w:val="clear" w:color="auto" w:fill="auto"/>
            <w:vAlign w:val="center"/>
          </w:tcPr>
          <w:p w14:paraId="71AD8C2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在区域主次干道沿线范围布点书城及书吧，并引导商业项目建设中配建相对规模标准的书城、书吧，营造全民阅读氛围</w:t>
            </w:r>
          </w:p>
        </w:tc>
        <w:tc>
          <w:tcPr>
            <w:tcW w:w="460" w:type="pct"/>
            <w:shd w:val="clear" w:color="auto" w:fill="auto"/>
            <w:vAlign w:val="center"/>
          </w:tcPr>
          <w:p w14:paraId="2B07B9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57669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2021-2026</w:t>
            </w:r>
          </w:p>
        </w:tc>
        <w:tc>
          <w:tcPr>
            <w:tcW w:w="321" w:type="pct"/>
            <w:shd w:val="clear" w:color="auto" w:fill="auto"/>
            <w:vAlign w:val="center"/>
          </w:tcPr>
          <w:p w14:paraId="6FFB6F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77" w:type="pct"/>
            <w:shd w:val="clear" w:color="auto" w:fill="auto"/>
            <w:vAlign w:val="center"/>
          </w:tcPr>
          <w:p w14:paraId="6BD065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1B76FB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1BD11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p>
        </w:tc>
      </w:tr>
      <w:tr w14:paraId="7395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45E04E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w:t>
            </w:r>
          </w:p>
        </w:tc>
        <w:tc>
          <w:tcPr>
            <w:tcW w:w="490" w:type="pct"/>
            <w:shd w:val="clear" w:color="auto" w:fill="auto"/>
            <w:vAlign w:val="center"/>
          </w:tcPr>
          <w:p w14:paraId="7C24BF76">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蟠龙新区科技博物馆建设项目</w:t>
            </w:r>
          </w:p>
        </w:tc>
        <w:tc>
          <w:tcPr>
            <w:tcW w:w="2040" w:type="pct"/>
            <w:shd w:val="clear" w:color="auto" w:fill="auto"/>
            <w:vAlign w:val="center"/>
          </w:tcPr>
          <w:p w14:paraId="0A38FD0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总建筑面积5000平方米，其中：主馆建筑面积3200平方米、附属建筑面积1800平方米；配套停车位120个；配套建设供电、给排水、消防、照明、弱电、暖通等附属工程建设</w:t>
            </w:r>
          </w:p>
        </w:tc>
        <w:tc>
          <w:tcPr>
            <w:tcW w:w="460" w:type="pct"/>
            <w:shd w:val="clear" w:color="auto" w:fill="auto"/>
            <w:vAlign w:val="center"/>
          </w:tcPr>
          <w:p w14:paraId="736E49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A0E07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2021-20204</w:t>
            </w:r>
          </w:p>
        </w:tc>
        <w:tc>
          <w:tcPr>
            <w:tcW w:w="321" w:type="pct"/>
            <w:shd w:val="clear" w:color="auto" w:fill="auto"/>
            <w:vAlign w:val="center"/>
          </w:tcPr>
          <w:p w14:paraId="7D15DB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429CF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2065BD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8FC4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62DB66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44B4A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B433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107</w:t>
            </w:r>
          </w:p>
        </w:tc>
        <w:tc>
          <w:tcPr>
            <w:tcW w:w="490" w:type="pct"/>
            <w:shd w:val="clear" w:color="auto" w:fill="auto"/>
            <w:vAlign w:val="center"/>
          </w:tcPr>
          <w:p w14:paraId="781D1E5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金台区理想共创文化科技产业园</w:t>
            </w:r>
          </w:p>
        </w:tc>
        <w:tc>
          <w:tcPr>
            <w:tcW w:w="2040" w:type="pct"/>
            <w:shd w:val="clear" w:color="auto" w:fill="auto"/>
            <w:vAlign w:val="center"/>
          </w:tcPr>
          <w:p w14:paraId="3CA0A767">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占地30亩，改造原有建筑1.4万平方米，新建停车场300平方米，景观绿化1500</w:t>
            </w:r>
            <w:r>
              <w:rPr>
                <w:rFonts w:hint="eastAsia" w:ascii="仿宋_GB2312" w:hAnsi="宋体" w:eastAsia="仿宋_GB2312" w:cs="宋体"/>
                <w:spacing w:val="-6"/>
                <w:kern w:val="0"/>
                <w:sz w:val="20"/>
                <w:szCs w:val="20"/>
                <w:lang w:eastAsia="zh-CN"/>
              </w:rPr>
              <w:t>平方</w:t>
            </w:r>
            <w:r>
              <w:rPr>
                <w:rFonts w:hint="eastAsia" w:ascii="仿宋_GB2312" w:hAnsi="宋体" w:eastAsia="仿宋_GB2312" w:cs="宋体"/>
                <w:spacing w:val="-6"/>
                <w:kern w:val="0"/>
                <w:sz w:val="20"/>
                <w:szCs w:val="20"/>
              </w:rPr>
              <w:t>米，配套建设给排水、电力、热力、燃气、消防等设施</w:t>
            </w:r>
          </w:p>
        </w:tc>
        <w:tc>
          <w:tcPr>
            <w:tcW w:w="460" w:type="pct"/>
            <w:shd w:val="clear" w:color="auto" w:fill="auto"/>
            <w:vAlign w:val="center"/>
          </w:tcPr>
          <w:p w14:paraId="72D490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金台区陈仓大道</w:t>
            </w:r>
          </w:p>
        </w:tc>
        <w:tc>
          <w:tcPr>
            <w:tcW w:w="374" w:type="pct"/>
            <w:shd w:val="clear" w:color="auto" w:fill="auto"/>
            <w:vAlign w:val="center"/>
          </w:tcPr>
          <w:p w14:paraId="0CAD50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0028D1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234C55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7C1A85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0960F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卧龙寺街道办事处</w:t>
            </w:r>
          </w:p>
        </w:tc>
      </w:tr>
      <w:tr w14:paraId="7C595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1E73B4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108</w:t>
            </w:r>
          </w:p>
        </w:tc>
        <w:tc>
          <w:tcPr>
            <w:tcW w:w="490" w:type="pct"/>
            <w:shd w:val="clear" w:color="auto" w:fill="auto"/>
            <w:vAlign w:val="center"/>
          </w:tcPr>
          <w:p w14:paraId="729652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军事影视拍摄基地项目</w:t>
            </w:r>
          </w:p>
        </w:tc>
        <w:tc>
          <w:tcPr>
            <w:tcW w:w="2040" w:type="pct"/>
            <w:shd w:val="clear" w:color="auto" w:fill="auto"/>
            <w:vAlign w:val="center"/>
          </w:tcPr>
          <w:p w14:paraId="32BBC14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建设1万平方米军事影视拍摄道具及设施。包括军事演员训练营、金石影业办公区、特效战术、后期制作区、拍摄所需仿真模型、临时搭建场景区等</w:t>
            </w:r>
          </w:p>
        </w:tc>
        <w:tc>
          <w:tcPr>
            <w:tcW w:w="460" w:type="pct"/>
            <w:shd w:val="clear" w:color="auto" w:fill="auto"/>
            <w:vAlign w:val="center"/>
          </w:tcPr>
          <w:p w14:paraId="4AA3AC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金台区蟠龙塬</w:t>
            </w:r>
          </w:p>
        </w:tc>
        <w:tc>
          <w:tcPr>
            <w:tcW w:w="374" w:type="pct"/>
            <w:shd w:val="clear" w:color="auto" w:fill="auto"/>
            <w:vAlign w:val="center"/>
          </w:tcPr>
          <w:p w14:paraId="653BC4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8DC15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2FE4A4B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04C513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E7C6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12F18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60D8E6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109</w:t>
            </w:r>
          </w:p>
        </w:tc>
        <w:tc>
          <w:tcPr>
            <w:tcW w:w="490" w:type="pct"/>
            <w:shd w:val="clear" w:color="auto" w:fill="auto"/>
            <w:vAlign w:val="center"/>
          </w:tcPr>
          <w:p w14:paraId="5F4FEA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百度大脑（陕西）创新体验中心项目</w:t>
            </w:r>
          </w:p>
        </w:tc>
        <w:tc>
          <w:tcPr>
            <w:tcW w:w="2040" w:type="pct"/>
            <w:shd w:val="clear" w:color="auto" w:fill="auto"/>
            <w:vAlign w:val="center"/>
          </w:tcPr>
          <w:p w14:paraId="0F90F51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 平方米，建设百度大脑创新体验中心，</w:t>
            </w:r>
            <w:r>
              <w:rPr>
                <w:rFonts w:hint="eastAsia" w:ascii="仿宋_GB2312" w:hAnsi="宋体" w:eastAsia="仿宋_GB2312" w:cs="宋体"/>
                <w:kern w:val="0"/>
                <w:sz w:val="20"/>
                <w:szCs w:val="20"/>
                <w:lang w:eastAsia="zh-CN"/>
              </w:rPr>
              <w:t>包括</w:t>
            </w:r>
            <w:r>
              <w:rPr>
                <w:rFonts w:hint="eastAsia" w:ascii="仿宋_GB2312" w:hAnsi="宋体" w:eastAsia="仿宋_GB2312" w:cs="宋体"/>
                <w:kern w:val="0"/>
                <w:sz w:val="20"/>
                <w:szCs w:val="20"/>
              </w:rPr>
              <w:t xml:space="preserve"> AI 平台展 示、AI 产品展示、AI 技术与产业结合展示及解决方案等内容</w:t>
            </w:r>
          </w:p>
        </w:tc>
        <w:tc>
          <w:tcPr>
            <w:tcW w:w="460" w:type="pct"/>
            <w:shd w:val="clear" w:color="auto" w:fill="auto"/>
            <w:vAlign w:val="center"/>
          </w:tcPr>
          <w:p w14:paraId="68CFDF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3C476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8F87D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5C626B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19" w:type="pct"/>
            <w:shd w:val="clear" w:color="auto" w:fill="auto"/>
            <w:vAlign w:val="center"/>
          </w:tcPr>
          <w:p w14:paraId="328CD1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92448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区招商局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蟠龙新区管委会</w:t>
            </w:r>
          </w:p>
        </w:tc>
      </w:tr>
      <w:tr w14:paraId="1E443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000746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110</w:t>
            </w:r>
          </w:p>
        </w:tc>
        <w:tc>
          <w:tcPr>
            <w:tcW w:w="490" w:type="pct"/>
            <w:shd w:val="clear" w:color="auto" w:fill="auto"/>
            <w:vAlign w:val="center"/>
          </w:tcPr>
          <w:p w14:paraId="35AF04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蟠龙书城项目</w:t>
            </w:r>
          </w:p>
        </w:tc>
        <w:tc>
          <w:tcPr>
            <w:tcW w:w="2040" w:type="pct"/>
            <w:shd w:val="clear" w:color="auto" w:fill="auto"/>
            <w:vAlign w:val="center"/>
          </w:tcPr>
          <w:p w14:paraId="282E92D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建设15个复合式书城，文化资源交易中心及相关配套，建设内容主要包括集图书、购物、休闲、餐饮、娱乐等众多文化项目的一站式体验地</w:t>
            </w:r>
          </w:p>
        </w:tc>
        <w:tc>
          <w:tcPr>
            <w:tcW w:w="460" w:type="pct"/>
            <w:shd w:val="clear" w:color="auto" w:fill="auto"/>
            <w:vAlign w:val="center"/>
          </w:tcPr>
          <w:p w14:paraId="239A4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1A616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2023-2027</w:t>
            </w:r>
          </w:p>
        </w:tc>
        <w:tc>
          <w:tcPr>
            <w:tcW w:w="321" w:type="pct"/>
            <w:shd w:val="clear" w:color="auto" w:fill="auto"/>
            <w:vAlign w:val="center"/>
          </w:tcPr>
          <w:p w14:paraId="71BFA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 </w:t>
            </w:r>
          </w:p>
        </w:tc>
        <w:tc>
          <w:tcPr>
            <w:tcW w:w="377" w:type="pct"/>
            <w:shd w:val="clear" w:color="auto" w:fill="auto"/>
            <w:vAlign w:val="center"/>
          </w:tcPr>
          <w:p w14:paraId="4271F6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45B180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1EC71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0CE605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4CCE1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57F04A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111</w:t>
            </w:r>
          </w:p>
        </w:tc>
        <w:tc>
          <w:tcPr>
            <w:tcW w:w="490" w:type="pct"/>
            <w:shd w:val="clear" w:color="auto" w:fill="auto"/>
            <w:vAlign w:val="center"/>
          </w:tcPr>
          <w:p w14:paraId="767412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蟠龙西部体育产业园项目</w:t>
            </w:r>
          </w:p>
        </w:tc>
        <w:tc>
          <w:tcPr>
            <w:tcW w:w="2040" w:type="pct"/>
            <w:shd w:val="clear" w:color="auto" w:fill="auto"/>
            <w:vAlign w:val="center"/>
          </w:tcPr>
          <w:p w14:paraId="40296F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占地300亩，重点涵盖体育用品、室内外健身器材、武术器材等产品制造，并建有集研发中心、检测中心、展示中心、服务中心等为一体的综合服务平台</w:t>
            </w:r>
          </w:p>
        </w:tc>
        <w:tc>
          <w:tcPr>
            <w:tcW w:w="460" w:type="pct"/>
            <w:shd w:val="clear" w:color="auto" w:fill="auto"/>
            <w:vAlign w:val="center"/>
          </w:tcPr>
          <w:p w14:paraId="26F2DB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AB87D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642A49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630B37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26 </w:t>
            </w:r>
          </w:p>
        </w:tc>
        <w:tc>
          <w:tcPr>
            <w:tcW w:w="319" w:type="pct"/>
            <w:shd w:val="clear" w:color="auto" w:fill="auto"/>
            <w:vAlign w:val="center"/>
          </w:tcPr>
          <w:p w14:paraId="7CBA9B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2901A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553932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62988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13" w:hRule="atLeast"/>
        </w:trPr>
        <w:tc>
          <w:tcPr>
            <w:tcW w:w="225" w:type="pct"/>
            <w:shd w:val="clear" w:color="auto" w:fill="auto"/>
            <w:vAlign w:val="center"/>
          </w:tcPr>
          <w:p w14:paraId="6D1138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490" w:type="pct"/>
            <w:shd w:val="clear" w:color="auto" w:fill="auto"/>
            <w:vAlign w:val="center"/>
          </w:tcPr>
          <w:p w14:paraId="63BF18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蟠龙体育休闲基地项目</w:t>
            </w:r>
          </w:p>
        </w:tc>
        <w:tc>
          <w:tcPr>
            <w:tcW w:w="2040" w:type="pct"/>
            <w:shd w:val="clear" w:color="auto" w:fill="auto"/>
            <w:vAlign w:val="center"/>
          </w:tcPr>
          <w:p w14:paraId="4E083B4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总建筑面积20</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，建设内容包括青少年运动员培训基地、体育产业研究基地，运动员及专家公寓，商业服务配套，足球论坛会址，酒店，运动康复中心，疗养康养中心，体育用品商贸中心</w:t>
            </w:r>
          </w:p>
        </w:tc>
        <w:tc>
          <w:tcPr>
            <w:tcW w:w="460" w:type="pct"/>
            <w:shd w:val="clear" w:color="auto" w:fill="auto"/>
            <w:vAlign w:val="center"/>
          </w:tcPr>
          <w:p w14:paraId="724C65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E4494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F9985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47F943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4197E2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C131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058FF2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41E61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65" w:hRule="atLeast"/>
        </w:trPr>
        <w:tc>
          <w:tcPr>
            <w:tcW w:w="225" w:type="pct"/>
            <w:shd w:val="clear" w:color="auto" w:fill="auto"/>
            <w:vAlign w:val="center"/>
          </w:tcPr>
          <w:p w14:paraId="703173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w:t>
            </w:r>
          </w:p>
        </w:tc>
        <w:tc>
          <w:tcPr>
            <w:tcW w:w="490" w:type="pct"/>
            <w:shd w:val="clear" w:color="auto" w:fill="auto"/>
            <w:vAlign w:val="center"/>
          </w:tcPr>
          <w:p w14:paraId="5849E9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蟠龙文旅城产业项目</w:t>
            </w:r>
          </w:p>
        </w:tc>
        <w:tc>
          <w:tcPr>
            <w:tcW w:w="2040" w:type="pct"/>
            <w:shd w:val="clear" w:color="auto" w:fill="auto"/>
            <w:vAlign w:val="center"/>
          </w:tcPr>
          <w:p w14:paraId="6DB2FAE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项目占地200亩，建设内容包括童话大街、童世界乐园、国际会展中心、婚礼庄园、主题博物馆群、欧洲城堡酒店等综合文旅项目</w:t>
            </w:r>
          </w:p>
        </w:tc>
        <w:tc>
          <w:tcPr>
            <w:tcW w:w="460" w:type="pct"/>
            <w:shd w:val="clear" w:color="auto" w:fill="auto"/>
            <w:vAlign w:val="center"/>
          </w:tcPr>
          <w:p w14:paraId="05CC49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9A23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59102E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77" w:type="pct"/>
            <w:shd w:val="clear" w:color="auto" w:fill="auto"/>
            <w:vAlign w:val="center"/>
          </w:tcPr>
          <w:p w14:paraId="26C9D2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30 </w:t>
            </w:r>
          </w:p>
        </w:tc>
        <w:tc>
          <w:tcPr>
            <w:tcW w:w="319" w:type="pct"/>
            <w:shd w:val="clear" w:color="auto" w:fill="auto"/>
            <w:vAlign w:val="center"/>
          </w:tcPr>
          <w:p w14:paraId="110735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D248E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5BCF85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0725B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99" w:hRule="atLeast"/>
        </w:trPr>
        <w:tc>
          <w:tcPr>
            <w:tcW w:w="225" w:type="pct"/>
            <w:shd w:val="clear" w:color="auto" w:fill="auto"/>
            <w:vAlign w:val="center"/>
          </w:tcPr>
          <w:p w14:paraId="5063E7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114</w:t>
            </w:r>
          </w:p>
        </w:tc>
        <w:tc>
          <w:tcPr>
            <w:tcW w:w="490" w:type="pct"/>
            <w:shd w:val="clear" w:color="auto" w:fill="auto"/>
            <w:vAlign w:val="center"/>
          </w:tcPr>
          <w:p w14:paraId="1F4F6A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蟠龙新区汽车文化产业园</w:t>
            </w:r>
          </w:p>
        </w:tc>
        <w:tc>
          <w:tcPr>
            <w:tcW w:w="2040" w:type="pct"/>
            <w:shd w:val="clear" w:color="auto" w:fill="auto"/>
            <w:vAlign w:val="center"/>
          </w:tcPr>
          <w:p w14:paraId="5650C1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1837亩，主要引进包括4S店、汽保（汽保设备）、汽车金融、汽车IT、汽车养护、汽车维修和配件、汽车文化及汽车运动、二手车及汽车租赁等产业。一期约700亩，拟将宝鸡市四十多家汽车4S店进行整合，建筑面积约8万</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米，其中汽车仓储房面积</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、汽车装潢区域</w:t>
            </w:r>
            <w:r>
              <w:rPr>
                <w:rFonts w:hint="eastAsia" w:ascii="仿宋_GB2312" w:hAnsi="宋体" w:eastAsia="仿宋_GB2312" w:cs="宋体"/>
                <w:kern w:val="0"/>
                <w:sz w:val="20"/>
                <w:szCs w:val="20"/>
                <w:lang w:eastAsia="zh-CN"/>
              </w:rPr>
              <w:t>2万平方米</w:t>
            </w:r>
            <w:r>
              <w:rPr>
                <w:rFonts w:hint="eastAsia" w:ascii="仿宋_GB2312" w:hAnsi="宋体" w:eastAsia="仿宋_GB2312" w:cs="宋体"/>
                <w:kern w:val="0"/>
                <w:sz w:val="20"/>
                <w:szCs w:val="20"/>
              </w:rPr>
              <w:t>，配套生活服务区2500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米。二期建设二手车交易中心、汽车主题文化生态公园、高科技中小企业孵化基地、多功能试乘试驾车道、多功能室内外活动场地、汽车公馆、汽车金融服务中心、名车博览中心等</w:t>
            </w:r>
          </w:p>
        </w:tc>
        <w:tc>
          <w:tcPr>
            <w:tcW w:w="460" w:type="pct"/>
            <w:shd w:val="clear" w:color="auto" w:fill="auto"/>
            <w:vAlign w:val="center"/>
          </w:tcPr>
          <w:p w14:paraId="39CD6F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60D86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C7313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16D705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2C002D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8D13A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2780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1AF0CAC0">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115</w:t>
            </w:r>
          </w:p>
        </w:tc>
        <w:tc>
          <w:tcPr>
            <w:tcW w:w="490" w:type="pct"/>
            <w:shd w:val="clear" w:color="auto" w:fill="auto"/>
            <w:vAlign w:val="center"/>
          </w:tcPr>
          <w:p w14:paraId="180F4420">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金台区电竞产业园项目</w:t>
            </w:r>
          </w:p>
        </w:tc>
        <w:tc>
          <w:tcPr>
            <w:tcW w:w="2040" w:type="pct"/>
            <w:shd w:val="clear" w:color="auto" w:fill="auto"/>
            <w:vAlign w:val="center"/>
          </w:tcPr>
          <w:p w14:paraId="25F7ADA7">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吸引电子竞技类企业和运营商等新兴产业链入驻文化产业园，重点招引电竞游戏制作、后台运营及电竞类企业等，加快推进电竞化产业进程</w:t>
            </w:r>
          </w:p>
        </w:tc>
        <w:tc>
          <w:tcPr>
            <w:tcW w:w="460" w:type="pct"/>
            <w:shd w:val="clear" w:color="auto" w:fill="auto"/>
            <w:vAlign w:val="center"/>
          </w:tcPr>
          <w:p w14:paraId="2B049CED">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金台大道</w:t>
            </w:r>
          </w:p>
        </w:tc>
        <w:tc>
          <w:tcPr>
            <w:tcW w:w="374" w:type="pct"/>
            <w:shd w:val="clear" w:color="auto" w:fill="auto"/>
            <w:vAlign w:val="center"/>
          </w:tcPr>
          <w:p w14:paraId="4ABC510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118C959F">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77" w:type="pct"/>
            <w:shd w:val="clear" w:color="auto" w:fill="auto"/>
            <w:vAlign w:val="center"/>
          </w:tcPr>
          <w:p w14:paraId="479C892A">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1.00 </w:t>
            </w:r>
          </w:p>
        </w:tc>
        <w:tc>
          <w:tcPr>
            <w:tcW w:w="319" w:type="pct"/>
            <w:shd w:val="clear" w:color="auto" w:fill="auto"/>
            <w:vAlign w:val="center"/>
          </w:tcPr>
          <w:p w14:paraId="2CBE4828">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地方自筹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04089D3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区委宣传部</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spacing w:val="-20"/>
                <w:kern w:val="0"/>
                <w:sz w:val="20"/>
                <w:szCs w:val="20"/>
                <w14:textFill>
                  <w14:solidFill>
                    <w14:schemeClr w14:val="tx1"/>
                  </w14:solidFill>
                </w14:textFill>
              </w:rPr>
              <w:t>区数字化信息服务中心</w:t>
            </w:r>
            <w:r>
              <w:rPr>
                <w:rFonts w:hint="eastAsia" w:ascii="仿宋_GB2312" w:hAnsi="宋体" w:eastAsia="仿宋_GB2312" w:cs="宋体"/>
                <w:color w:val="000000" w:themeColor="text1"/>
                <w:kern w:val="0"/>
                <w:sz w:val="20"/>
                <w:szCs w:val="20"/>
                <w14:textFill>
                  <w14:solidFill>
                    <w14:schemeClr w14:val="tx1"/>
                  </w14:solidFill>
                </w14:textFill>
              </w:rPr>
              <w:t xml:space="preserve">    </w:t>
            </w:r>
          </w:p>
        </w:tc>
      </w:tr>
      <w:tr w14:paraId="0EF11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E72BA5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48DF26B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商贸会展（15）</w:t>
            </w:r>
          </w:p>
        </w:tc>
        <w:tc>
          <w:tcPr>
            <w:tcW w:w="2040" w:type="pct"/>
            <w:shd w:val="clear" w:color="auto" w:fill="auto"/>
            <w:vAlign w:val="center"/>
          </w:tcPr>
          <w:p w14:paraId="16595A6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BDBD2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B36C5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AB5E04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154.12</w:t>
            </w:r>
          </w:p>
        </w:tc>
        <w:tc>
          <w:tcPr>
            <w:tcW w:w="377" w:type="pct"/>
            <w:shd w:val="clear" w:color="auto" w:fill="auto"/>
            <w:vAlign w:val="center"/>
          </w:tcPr>
          <w:p w14:paraId="5F975A8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147.12</w:t>
            </w:r>
          </w:p>
        </w:tc>
        <w:tc>
          <w:tcPr>
            <w:tcW w:w="319" w:type="pct"/>
            <w:shd w:val="clear" w:color="auto" w:fill="auto"/>
            <w:vAlign w:val="center"/>
          </w:tcPr>
          <w:p w14:paraId="7D96AB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ABB3B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E68B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56" w:hRule="atLeast"/>
        </w:trPr>
        <w:tc>
          <w:tcPr>
            <w:tcW w:w="225" w:type="pct"/>
            <w:shd w:val="clear" w:color="auto" w:fill="auto"/>
            <w:vAlign w:val="center"/>
          </w:tcPr>
          <w:p w14:paraId="2D2139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116</w:t>
            </w:r>
          </w:p>
        </w:tc>
        <w:tc>
          <w:tcPr>
            <w:tcW w:w="490" w:type="pct"/>
            <w:shd w:val="clear" w:color="auto" w:fill="auto"/>
            <w:vAlign w:val="center"/>
          </w:tcPr>
          <w:p w14:paraId="7EADC7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金台区斗中路商务区暨宝鸡汇智中心项目</w:t>
            </w:r>
          </w:p>
        </w:tc>
        <w:tc>
          <w:tcPr>
            <w:tcW w:w="2040" w:type="pct"/>
            <w:shd w:val="clear" w:color="auto" w:fill="auto"/>
            <w:vAlign w:val="center"/>
          </w:tcPr>
          <w:p w14:paraId="767564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占地56亩，总建筑面积28.5万平方米，其中地上22万平方米，地下6.5万平方米，建设200米超高层地标性建筑、高档办公楼、高品质酒店以及高品质住宅、配套商业等</w:t>
            </w:r>
          </w:p>
        </w:tc>
        <w:tc>
          <w:tcPr>
            <w:tcW w:w="460" w:type="pct"/>
            <w:shd w:val="clear" w:color="auto" w:fill="auto"/>
            <w:vAlign w:val="center"/>
          </w:tcPr>
          <w:p w14:paraId="65721E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金台区斗中路</w:t>
            </w:r>
          </w:p>
        </w:tc>
        <w:tc>
          <w:tcPr>
            <w:tcW w:w="374" w:type="pct"/>
            <w:shd w:val="clear" w:color="auto" w:fill="auto"/>
            <w:vAlign w:val="center"/>
          </w:tcPr>
          <w:p w14:paraId="424C2F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8341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28148E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44B7A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B5C2A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1F55C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35" w:hRule="atLeast"/>
        </w:trPr>
        <w:tc>
          <w:tcPr>
            <w:tcW w:w="225" w:type="pct"/>
            <w:shd w:val="clear" w:color="auto" w:fill="auto"/>
            <w:vAlign w:val="center"/>
          </w:tcPr>
          <w:p w14:paraId="48E332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117</w:t>
            </w:r>
          </w:p>
        </w:tc>
        <w:tc>
          <w:tcPr>
            <w:tcW w:w="490" w:type="pct"/>
            <w:shd w:val="clear" w:color="auto" w:fill="auto"/>
            <w:vAlign w:val="center"/>
          </w:tcPr>
          <w:p w14:paraId="2BE8D4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金台区联盟第五大道特色商圈项目</w:t>
            </w:r>
          </w:p>
        </w:tc>
        <w:tc>
          <w:tcPr>
            <w:tcW w:w="2040" w:type="pct"/>
            <w:shd w:val="clear" w:color="auto" w:fill="auto"/>
            <w:vAlign w:val="center"/>
          </w:tcPr>
          <w:p w14:paraId="38F3D6B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提升改造第五大道街区整体形象，对沿街建筑墙体外立面美化改造，外墙利用铝塑装饰板空挂、主面装饰维修等，配套给排水、绿化等设施建设</w:t>
            </w:r>
          </w:p>
        </w:tc>
        <w:tc>
          <w:tcPr>
            <w:tcW w:w="460" w:type="pct"/>
            <w:shd w:val="clear" w:color="auto" w:fill="auto"/>
            <w:vAlign w:val="center"/>
          </w:tcPr>
          <w:p w14:paraId="4E6D12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金台区第五大道</w:t>
            </w:r>
          </w:p>
        </w:tc>
        <w:tc>
          <w:tcPr>
            <w:tcW w:w="374" w:type="pct"/>
            <w:shd w:val="clear" w:color="auto" w:fill="auto"/>
            <w:vAlign w:val="center"/>
          </w:tcPr>
          <w:p w14:paraId="7A524B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797F6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3A9B4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BB6CC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91839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1C829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04" w:hRule="atLeast"/>
        </w:trPr>
        <w:tc>
          <w:tcPr>
            <w:tcW w:w="225" w:type="pct"/>
            <w:shd w:val="clear" w:color="auto" w:fill="auto"/>
            <w:vAlign w:val="center"/>
          </w:tcPr>
          <w:p w14:paraId="659CB7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490" w:type="pct"/>
            <w:shd w:val="clear" w:color="auto" w:fill="auto"/>
            <w:vAlign w:val="center"/>
          </w:tcPr>
          <w:p w14:paraId="76D1970E">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金台区秦岭农贸市场建设项目</w:t>
            </w:r>
          </w:p>
        </w:tc>
        <w:tc>
          <w:tcPr>
            <w:tcW w:w="2040" w:type="pct"/>
            <w:shd w:val="clear" w:color="auto" w:fill="auto"/>
            <w:vAlign w:val="center"/>
          </w:tcPr>
          <w:p w14:paraId="5B2D32C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秦岭综合市场提升改造，建筑总面积3500平方米，建设有综合零售交易大厅1000平方米、蔬菜批发交易区500平方米、水产肉食交易区500平方米、干菜调料交易区500平方米、有机农产品区500平方米和电子商务中心500平方米</w:t>
            </w:r>
          </w:p>
        </w:tc>
        <w:tc>
          <w:tcPr>
            <w:tcW w:w="460" w:type="pct"/>
            <w:shd w:val="clear" w:color="auto" w:fill="auto"/>
            <w:vAlign w:val="center"/>
          </w:tcPr>
          <w:p w14:paraId="01534B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金台区宏文路与团结东路交叉路口</w:t>
            </w:r>
          </w:p>
        </w:tc>
        <w:tc>
          <w:tcPr>
            <w:tcW w:w="374" w:type="pct"/>
            <w:shd w:val="clear" w:color="auto" w:fill="auto"/>
            <w:vAlign w:val="center"/>
          </w:tcPr>
          <w:p w14:paraId="189FAA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F2B19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9A626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9A470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4F9E5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区商务局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十里铺街道办事处</w:t>
            </w:r>
          </w:p>
        </w:tc>
      </w:tr>
      <w:tr w14:paraId="3EEE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28BB7E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119</w:t>
            </w:r>
          </w:p>
        </w:tc>
        <w:tc>
          <w:tcPr>
            <w:tcW w:w="490" w:type="pct"/>
            <w:shd w:val="clear" w:color="auto" w:fill="auto"/>
            <w:vAlign w:val="center"/>
          </w:tcPr>
          <w:p w14:paraId="4000E24F">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金台区跃进路商业综合体项目</w:t>
            </w:r>
          </w:p>
        </w:tc>
        <w:tc>
          <w:tcPr>
            <w:tcW w:w="2040" w:type="pct"/>
            <w:shd w:val="clear" w:color="auto" w:fill="auto"/>
            <w:vAlign w:val="center"/>
          </w:tcPr>
          <w:p w14:paraId="3FEA495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建设集购物、娱乐、餐饮、亲子活动于一体的商业综合体</w:t>
            </w:r>
          </w:p>
        </w:tc>
        <w:tc>
          <w:tcPr>
            <w:tcW w:w="460" w:type="pct"/>
            <w:shd w:val="clear" w:color="auto" w:fill="auto"/>
            <w:vAlign w:val="center"/>
          </w:tcPr>
          <w:p w14:paraId="586234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金台区金台大道</w:t>
            </w:r>
          </w:p>
        </w:tc>
        <w:tc>
          <w:tcPr>
            <w:tcW w:w="374" w:type="pct"/>
            <w:shd w:val="clear" w:color="auto" w:fill="auto"/>
            <w:vAlign w:val="center"/>
          </w:tcPr>
          <w:p w14:paraId="1C9486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98E6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51BB5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786A6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40F2C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w:t>
            </w:r>
          </w:p>
        </w:tc>
      </w:tr>
      <w:tr w14:paraId="5CE7B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6B573F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120</w:t>
            </w:r>
          </w:p>
        </w:tc>
        <w:tc>
          <w:tcPr>
            <w:tcW w:w="490" w:type="pct"/>
            <w:shd w:val="clear" w:color="auto" w:fill="auto"/>
            <w:vAlign w:val="center"/>
          </w:tcPr>
          <w:p w14:paraId="69FFB6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金台区卧龙寺农产品交易中心项目</w:t>
            </w:r>
          </w:p>
        </w:tc>
        <w:tc>
          <w:tcPr>
            <w:tcW w:w="2040" w:type="pct"/>
            <w:shd w:val="clear" w:color="auto" w:fill="auto"/>
            <w:vAlign w:val="center"/>
          </w:tcPr>
          <w:p w14:paraId="452E045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 新建农产品交易中心，总建筑面积1800平方米；建设沿街商铺建筑2300平方米，并配套建设道路、给排水、电力、消防设施</w:t>
            </w:r>
          </w:p>
        </w:tc>
        <w:tc>
          <w:tcPr>
            <w:tcW w:w="460" w:type="pct"/>
            <w:shd w:val="clear" w:color="auto" w:fill="auto"/>
            <w:vAlign w:val="center"/>
          </w:tcPr>
          <w:p w14:paraId="464280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金台区卧龙寺中铁电气化东侧</w:t>
            </w:r>
          </w:p>
        </w:tc>
        <w:tc>
          <w:tcPr>
            <w:tcW w:w="374" w:type="pct"/>
            <w:shd w:val="clear" w:color="auto" w:fill="auto"/>
            <w:vAlign w:val="center"/>
          </w:tcPr>
          <w:p w14:paraId="6DC913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101D0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69C614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2384C2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9D17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42266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7E64E7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121</w:t>
            </w:r>
          </w:p>
        </w:tc>
        <w:tc>
          <w:tcPr>
            <w:tcW w:w="490" w:type="pct"/>
            <w:shd w:val="clear" w:color="auto" w:fill="auto"/>
            <w:vAlign w:val="center"/>
          </w:tcPr>
          <w:p w14:paraId="757098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鑫苑大都汇（世纪荟萃广场二期）</w:t>
            </w:r>
          </w:p>
        </w:tc>
        <w:tc>
          <w:tcPr>
            <w:tcW w:w="2040" w:type="pct"/>
            <w:shd w:val="clear" w:color="auto" w:fill="auto"/>
            <w:vAlign w:val="center"/>
          </w:tcPr>
          <w:p w14:paraId="1BF9AD3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占地50余亩，建筑面积20余万</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米，项目包含高端购物中心、超品质写字楼、精装公寓、星级酒店等多种物业形态，集生活、购物、美食 、休闲、娱乐、时尚、运动、办公等城市功能于一体的大型城市综合体</w:t>
            </w:r>
          </w:p>
        </w:tc>
        <w:tc>
          <w:tcPr>
            <w:tcW w:w="460" w:type="pct"/>
            <w:shd w:val="clear" w:color="auto" w:fill="auto"/>
            <w:vAlign w:val="center"/>
          </w:tcPr>
          <w:p w14:paraId="49A5C6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金台大道23号</w:t>
            </w:r>
          </w:p>
        </w:tc>
        <w:tc>
          <w:tcPr>
            <w:tcW w:w="374" w:type="pct"/>
            <w:shd w:val="clear" w:color="auto" w:fill="auto"/>
            <w:vAlign w:val="center"/>
          </w:tcPr>
          <w:p w14:paraId="16C66C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7A4F00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E4870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EFD8F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BD9FD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p>
        </w:tc>
      </w:tr>
      <w:tr w14:paraId="6FC6C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8" w:hRule="atLeast"/>
        </w:trPr>
        <w:tc>
          <w:tcPr>
            <w:tcW w:w="225" w:type="pct"/>
            <w:shd w:val="clear" w:color="auto" w:fill="auto"/>
            <w:vAlign w:val="center"/>
          </w:tcPr>
          <w:p w14:paraId="70197E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122</w:t>
            </w:r>
          </w:p>
        </w:tc>
        <w:tc>
          <w:tcPr>
            <w:tcW w:w="490" w:type="pct"/>
            <w:shd w:val="clear" w:color="auto" w:fill="auto"/>
            <w:vAlign w:val="center"/>
          </w:tcPr>
          <w:p w14:paraId="24F548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金台区水果批发市场改建扩建项目</w:t>
            </w:r>
          </w:p>
        </w:tc>
        <w:tc>
          <w:tcPr>
            <w:tcW w:w="2040" w:type="pct"/>
            <w:shd w:val="clear" w:color="auto" w:fill="auto"/>
            <w:vAlign w:val="center"/>
          </w:tcPr>
          <w:p w14:paraId="2F2F75E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改建扩建原有市场，计划改建成3层销售中心，并新建冷库6000平方米，建成高效、安全卫生、交易先进的蔬果市场</w:t>
            </w:r>
          </w:p>
        </w:tc>
        <w:tc>
          <w:tcPr>
            <w:tcW w:w="460" w:type="pct"/>
            <w:shd w:val="clear" w:color="auto" w:fill="auto"/>
            <w:vAlign w:val="center"/>
          </w:tcPr>
          <w:p w14:paraId="1F649F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陈仓镇联盟一组</w:t>
            </w:r>
          </w:p>
        </w:tc>
        <w:tc>
          <w:tcPr>
            <w:tcW w:w="374" w:type="pct"/>
            <w:shd w:val="clear" w:color="auto" w:fill="auto"/>
            <w:vAlign w:val="center"/>
          </w:tcPr>
          <w:p w14:paraId="43A749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A1BB5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04D90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650695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F63A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陈仓镇人民政府</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区商务局</w:t>
            </w:r>
          </w:p>
        </w:tc>
      </w:tr>
      <w:tr w14:paraId="60AFF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4" w:hRule="atLeast"/>
        </w:trPr>
        <w:tc>
          <w:tcPr>
            <w:tcW w:w="225" w:type="pct"/>
            <w:shd w:val="clear" w:color="auto" w:fill="auto"/>
            <w:vAlign w:val="center"/>
          </w:tcPr>
          <w:p w14:paraId="228F49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123</w:t>
            </w:r>
          </w:p>
        </w:tc>
        <w:tc>
          <w:tcPr>
            <w:tcW w:w="490" w:type="pct"/>
            <w:shd w:val="clear" w:color="auto" w:fill="auto"/>
            <w:vAlign w:val="center"/>
          </w:tcPr>
          <w:p w14:paraId="297D02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宝鸡农产品贸易中心项目</w:t>
            </w:r>
          </w:p>
        </w:tc>
        <w:tc>
          <w:tcPr>
            <w:tcW w:w="2040" w:type="pct"/>
            <w:shd w:val="clear" w:color="auto" w:fill="auto"/>
            <w:vAlign w:val="center"/>
          </w:tcPr>
          <w:p w14:paraId="3AFB6C7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建设内容包括蔬菜交易区、果品交易区、果蔬冷藏保险区、冷鲜肉蛋禽仓储交易区、干调交易区、粮油交易区、水产海鲜交易区、花卉交易区、茶叶及中药材交易区、农资与农机交易区、仓储物流区、加工配送区、农副产品智慧展贸区、金融商务及办公区、公寓及生活配套区</w:t>
            </w:r>
          </w:p>
        </w:tc>
        <w:tc>
          <w:tcPr>
            <w:tcW w:w="460" w:type="pct"/>
            <w:shd w:val="clear" w:color="auto" w:fill="auto"/>
            <w:vAlign w:val="center"/>
          </w:tcPr>
          <w:p w14:paraId="4A89E2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69A43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CB6E1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2F8BEB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25877E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33759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83D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98" w:hRule="atLeast"/>
        </w:trPr>
        <w:tc>
          <w:tcPr>
            <w:tcW w:w="225" w:type="pct"/>
            <w:shd w:val="clear" w:color="auto" w:fill="auto"/>
            <w:vAlign w:val="center"/>
          </w:tcPr>
          <w:p w14:paraId="26724D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w:t>
            </w:r>
          </w:p>
        </w:tc>
        <w:tc>
          <w:tcPr>
            <w:tcW w:w="490" w:type="pct"/>
            <w:shd w:val="clear" w:color="auto" w:fill="auto"/>
            <w:vAlign w:val="center"/>
          </w:tcPr>
          <w:p w14:paraId="2BD200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宝鸡时代广场项目</w:t>
            </w:r>
          </w:p>
        </w:tc>
        <w:tc>
          <w:tcPr>
            <w:tcW w:w="2040" w:type="pct"/>
            <w:shd w:val="clear" w:color="auto" w:fill="auto"/>
            <w:vAlign w:val="center"/>
          </w:tcPr>
          <w:p w14:paraId="0C94753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建筑面积20万平方米，建设高端商务写字楼，容纳金融、文化、商务等总部企业入驻</w:t>
            </w:r>
          </w:p>
        </w:tc>
        <w:tc>
          <w:tcPr>
            <w:tcW w:w="460" w:type="pct"/>
            <w:shd w:val="clear" w:color="auto" w:fill="auto"/>
            <w:vAlign w:val="center"/>
          </w:tcPr>
          <w:p w14:paraId="596614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金台大道东段</w:t>
            </w:r>
          </w:p>
        </w:tc>
        <w:tc>
          <w:tcPr>
            <w:tcW w:w="374" w:type="pct"/>
            <w:shd w:val="clear" w:color="auto" w:fill="auto"/>
            <w:vAlign w:val="center"/>
          </w:tcPr>
          <w:p w14:paraId="7F76C0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19F3BA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02F5C4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384916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CDAB6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区商务局</w:t>
            </w:r>
          </w:p>
        </w:tc>
      </w:tr>
      <w:tr w14:paraId="6865A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3" w:hRule="atLeast"/>
        </w:trPr>
        <w:tc>
          <w:tcPr>
            <w:tcW w:w="225" w:type="pct"/>
            <w:shd w:val="clear" w:color="auto" w:fill="auto"/>
            <w:vAlign w:val="center"/>
          </w:tcPr>
          <w:p w14:paraId="180753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125</w:t>
            </w:r>
          </w:p>
        </w:tc>
        <w:tc>
          <w:tcPr>
            <w:tcW w:w="490" w:type="pct"/>
            <w:shd w:val="clear" w:color="auto" w:fill="auto"/>
            <w:vAlign w:val="center"/>
          </w:tcPr>
          <w:p w14:paraId="5475E0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蓝光耍街MIX</w:t>
            </w:r>
          </w:p>
        </w:tc>
        <w:tc>
          <w:tcPr>
            <w:tcW w:w="2040" w:type="pct"/>
            <w:shd w:val="clear" w:color="auto" w:fill="auto"/>
            <w:vAlign w:val="center"/>
          </w:tcPr>
          <w:p w14:paraId="4C6E3DA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总建筑面积27.2万平方米，其中商业11.4万平方米，公寓7.7万平方米，酒店8000平方米，车库7.3平方米及相关附属设施，打造集餐饮、娱乐、办公、公寓等多元化的商业综合体</w:t>
            </w:r>
          </w:p>
        </w:tc>
        <w:tc>
          <w:tcPr>
            <w:tcW w:w="460" w:type="pct"/>
            <w:shd w:val="clear" w:color="auto" w:fill="auto"/>
            <w:vAlign w:val="center"/>
          </w:tcPr>
          <w:p w14:paraId="171786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金台区陈仓大道</w:t>
            </w:r>
          </w:p>
        </w:tc>
        <w:tc>
          <w:tcPr>
            <w:tcW w:w="374" w:type="pct"/>
            <w:shd w:val="clear" w:color="auto" w:fill="auto"/>
            <w:vAlign w:val="center"/>
          </w:tcPr>
          <w:p w14:paraId="18FC12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C933F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40 </w:t>
            </w:r>
          </w:p>
        </w:tc>
        <w:tc>
          <w:tcPr>
            <w:tcW w:w="377" w:type="pct"/>
            <w:shd w:val="clear" w:color="auto" w:fill="auto"/>
            <w:vAlign w:val="center"/>
          </w:tcPr>
          <w:p w14:paraId="30A18A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484491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C50B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0CD1B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3" w:hRule="atLeast"/>
        </w:trPr>
        <w:tc>
          <w:tcPr>
            <w:tcW w:w="225" w:type="pct"/>
            <w:shd w:val="clear" w:color="auto" w:fill="auto"/>
            <w:vAlign w:val="center"/>
          </w:tcPr>
          <w:p w14:paraId="0E0B80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126</w:t>
            </w:r>
          </w:p>
        </w:tc>
        <w:tc>
          <w:tcPr>
            <w:tcW w:w="490" w:type="pct"/>
            <w:shd w:val="clear" w:color="auto" w:fill="auto"/>
            <w:vAlign w:val="center"/>
          </w:tcPr>
          <w:p w14:paraId="23A3AE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蟠龙商业街区项目</w:t>
            </w:r>
          </w:p>
        </w:tc>
        <w:tc>
          <w:tcPr>
            <w:tcW w:w="2040" w:type="pct"/>
            <w:shd w:val="clear" w:color="auto" w:fill="auto"/>
            <w:vAlign w:val="center"/>
          </w:tcPr>
          <w:p w14:paraId="7C2B4DC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总建筑面积10万平方米，建设内容包括商业综合体、高品质商务酒店、办公及配套设施等。</w:t>
            </w:r>
          </w:p>
        </w:tc>
        <w:tc>
          <w:tcPr>
            <w:tcW w:w="460" w:type="pct"/>
            <w:shd w:val="clear" w:color="auto" w:fill="auto"/>
            <w:vAlign w:val="center"/>
          </w:tcPr>
          <w:p w14:paraId="18DE07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2EF5F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3C0692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2C8265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 </w:t>
            </w:r>
          </w:p>
        </w:tc>
        <w:tc>
          <w:tcPr>
            <w:tcW w:w="319" w:type="pct"/>
            <w:shd w:val="clear" w:color="auto" w:fill="auto"/>
            <w:vAlign w:val="center"/>
          </w:tcPr>
          <w:p w14:paraId="33ED83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28FCB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5BE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5BCF6D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127</w:t>
            </w:r>
          </w:p>
        </w:tc>
        <w:tc>
          <w:tcPr>
            <w:tcW w:w="490" w:type="pct"/>
            <w:shd w:val="clear" w:color="auto" w:fill="auto"/>
            <w:vAlign w:val="center"/>
          </w:tcPr>
          <w:p w14:paraId="437F3C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蟠龙新区总部经济产业园配套设施项目</w:t>
            </w:r>
          </w:p>
        </w:tc>
        <w:tc>
          <w:tcPr>
            <w:tcW w:w="2040" w:type="pct"/>
            <w:shd w:val="clear" w:color="auto" w:fill="auto"/>
            <w:vAlign w:val="center"/>
          </w:tcPr>
          <w:p w14:paraId="7FE7372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2.5万平方米，引进总部企业100家。建设产业园区道路、污水管道、雨水管网、检查井、雨水口、给水管网，铺设强弱电综合管沟，引入设计研发类、服务咨询类、建筑类；配套建设道路、供排水、停车位、绿化、路灯等设施</w:t>
            </w:r>
          </w:p>
        </w:tc>
        <w:tc>
          <w:tcPr>
            <w:tcW w:w="460" w:type="pct"/>
            <w:shd w:val="clear" w:color="auto" w:fill="auto"/>
            <w:vAlign w:val="center"/>
          </w:tcPr>
          <w:p w14:paraId="77224F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33641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602DC0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74FFC9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204AC9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FBF10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9597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14BC4D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128</w:t>
            </w:r>
          </w:p>
        </w:tc>
        <w:tc>
          <w:tcPr>
            <w:tcW w:w="490" w:type="pct"/>
            <w:shd w:val="clear" w:color="auto" w:fill="auto"/>
            <w:vAlign w:val="center"/>
          </w:tcPr>
          <w:p w14:paraId="4895F8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蟠龙新区聚旺总部及商业综合体项目</w:t>
            </w:r>
          </w:p>
        </w:tc>
        <w:tc>
          <w:tcPr>
            <w:tcW w:w="2040" w:type="pct"/>
            <w:shd w:val="clear" w:color="auto" w:fill="auto"/>
            <w:vAlign w:val="center"/>
          </w:tcPr>
          <w:p w14:paraId="400670F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占地约102亩，建筑面积20万平方米，其中建设商业中心、超市、写字楼、酒店、公寓、地下停车场等商业配套</w:t>
            </w:r>
          </w:p>
        </w:tc>
        <w:tc>
          <w:tcPr>
            <w:tcW w:w="460" w:type="pct"/>
            <w:shd w:val="clear" w:color="auto" w:fill="auto"/>
            <w:vAlign w:val="center"/>
          </w:tcPr>
          <w:p w14:paraId="0E09B0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5C167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44E70A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363178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6C551B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57FDE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C84C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49886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129</w:t>
            </w:r>
          </w:p>
        </w:tc>
        <w:tc>
          <w:tcPr>
            <w:tcW w:w="490" w:type="pct"/>
            <w:shd w:val="clear" w:color="auto" w:fill="auto"/>
            <w:vAlign w:val="center"/>
          </w:tcPr>
          <w:p w14:paraId="12EAA4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蟠龙新区锦华国际商业中心项目</w:t>
            </w:r>
          </w:p>
        </w:tc>
        <w:tc>
          <w:tcPr>
            <w:tcW w:w="2040" w:type="pct"/>
            <w:shd w:val="clear" w:color="auto" w:fill="auto"/>
            <w:vAlign w:val="center"/>
          </w:tcPr>
          <w:p w14:paraId="0075F91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占地面积113.5亩。建设以商业零售业、日韩进口商品区、威高医疗器械区为主的城市商业综合体，配套建设7D影院、时尚步行街等</w:t>
            </w:r>
          </w:p>
        </w:tc>
        <w:tc>
          <w:tcPr>
            <w:tcW w:w="460" w:type="pct"/>
            <w:shd w:val="clear" w:color="auto" w:fill="auto"/>
            <w:vAlign w:val="center"/>
          </w:tcPr>
          <w:p w14:paraId="4DD343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5C790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05D6D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1025DD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690142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738B8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3707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62A693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130</w:t>
            </w:r>
          </w:p>
        </w:tc>
        <w:tc>
          <w:tcPr>
            <w:tcW w:w="490" w:type="pct"/>
            <w:shd w:val="clear" w:color="auto" w:fill="auto"/>
            <w:vAlign w:val="center"/>
          </w:tcPr>
          <w:p w14:paraId="0A3D6B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蟠龙之眼</w:t>
            </w:r>
          </w:p>
        </w:tc>
        <w:tc>
          <w:tcPr>
            <w:tcW w:w="2040" w:type="pct"/>
            <w:shd w:val="clear" w:color="auto" w:fill="auto"/>
            <w:vAlign w:val="center"/>
          </w:tcPr>
          <w:p w14:paraId="4D73696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占地约22.5亩，总建筑面积5640平方米，新建城市展厅及健身中心2500平方米，社区服务中心2100平方米，空中全景城市客厅800平方米，配套道路、绿化、亮化等基础设施</w:t>
            </w:r>
          </w:p>
        </w:tc>
        <w:tc>
          <w:tcPr>
            <w:tcW w:w="460" w:type="pct"/>
            <w:shd w:val="clear" w:color="auto" w:fill="auto"/>
            <w:vAlign w:val="center"/>
          </w:tcPr>
          <w:p w14:paraId="1B68D5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蟠龙新区龙腾路西</w:t>
            </w:r>
          </w:p>
        </w:tc>
        <w:tc>
          <w:tcPr>
            <w:tcW w:w="374" w:type="pct"/>
            <w:shd w:val="clear" w:color="auto" w:fill="auto"/>
            <w:vAlign w:val="center"/>
          </w:tcPr>
          <w:p w14:paraId="7CA08E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46989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14A0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9AAA7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1D0F6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4340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6DDAFE1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六、基础设施项目（40个）</w:t>
            </w:r>
          </w:p>
        </w:tc>
        <w:tc>
          <w:tcPr>
            <w:tcW w:w="460" w:type="pct"/>
            <w:shd w:val="clear" w:color="auto" w:fill="auto"/>
            <w:vAlign w:val="center"/>
          </w:tcPr>
          <w:p w14:paraId="74EABF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77EE0E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72572A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305.93 </w:t>
            </w:r>
          </w:p>
        </w:tc>
        <w:tc>
          <w:tcPr>
            <w:tcW w:w="377" w:type="pct"/>
            <w:shd w:val="clear" w:color="auto" w:fill="auto"/>
            <w:vAlign w:val="center"/>
          </w:tcPr>
          <w:p w14:paraId="7F62979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252.36 </w:t>
            </w:r>
          </w:p>
        </w:tc>
        <w:tc>
          <w:tcPr>
            <w:tcW w:w="319" w:type="pct"/>
            <w:shd w:val="clear" w:color="auto" w:fill="auto"/>
            <w:vAlign w:val="center"/>
          </w:tcPr>
          <w:p w14:paraId="4680FE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097AF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8E56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6B0855C">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121DCED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公路（12）</w:t>
            </w:r>
          </w:p>
        </w:tc>
        <w:tc>
          <w:tcPr>
            <w:tcW w:w="2040" w:type="pct"/>
            <w:shd w:val="clear" w:color="auto" w:fill="auto"/>
            <w:vAlign w:val="center"/>
          </w:tcPr>
          <w:p w14:paraId="3FC4575B">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B4684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A2CEE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BB0011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160.98 </w:t>
            </w:r>
          </w:p>
        </w:tc>
        <w:tc>
          <w:tcPr>
            <w:tcW w:w="377" w:type="pct"/>
            <w:shd w:val="clear" w:color="auto" w:fill="auto"/>
            <w:vAlign w:val="center"/>
          </w:tcPr>
          <w:p w14:paraId="717097E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xml:space="preserve">157.41 </w:t>
            </w:r>
          </w:p>
        </w:tc>
        <w:tc>
          <w:tcPr>
            <w:tcW w:w="319" w:type="pct"/>
            <w:shd w:val="clear" w:color="auto" w:fill="auto"/>
            <w:vAlign w:val="center"/>
          </w:tcPr>
          <w:p w14:paraId="5444A6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85421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3A90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9" w:hRule="atLeast"/>
        </w:trPr>
        <w:tc>
          <w:tcPr>
            <w:tcW w:w="225" w:type="pct"/>
            <w:shd w:val="clear" w:color="auto" w:fill="auto"/>
            <w:vAlign w:val="center"/>
          </w:tcPr>
          <w:p w14:paraId="5F52F5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131</w:t>
            </w:r>
          </w:p>
        </w:tc>
        <w:tc>
          <w:tcPr>
            <w:tcW w:w="490" w:type="pct"/>
            <w:shd w:val="clear" w:color="auto" w:fill="auto"/>
            <w:vAlign w:val="center"/>
          </w:tcPr>
          <w:p w14:paraId="2B8DC4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蟠高快速干线项目</w:t>
            </w:r>
          </w:p>
        </w:tc>
        <w:tc>
          <w:tcPr>
            <w:tcW w:w="2040" w:type="pct"/>
            <w:shd w:val="clear" w:color="auto" w:fill="auto"/>
            <w:vAlign w:val="center"/>
          </w:tcPr>
          <w:p w14:paraId="577D174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长9.9公里，高差为182米，全线设连霍高速、金台大道、大庆路3处互通立交，陇海线分离式立交，斗中路全线高架，桥梁宽度为24.5米，双向六车道，高架下部结构采用集约门型墩。地面道路红线宽度30米，双向四车道</w:t>
            </w:r>
          </w:p>
        </w:tc>
        <w:tc>
          <w:tcPr>
            <w:tcW w:w="460" w:type="pct"/>
            <w:shd w:val="clear" w:color="auto" w:fill="auto"/>
            <w:vAlign w:val="center"/>
          </w:tcPr>
          <w:p w14:paraId="2763CB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7416B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5FC0B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44.45 </w:t>
            </w:r>
          </w:p>
        </w:tc>
        <w:tc>
          <w:tcPr>
            <w:tcW w:w="377" w:type="pct"/>
            <w:shd w:val="clear" w:color="auto" w:fill="auto"/>
            <w:vAlign w:val="center"/>
          </w:tcPr>
          <w:p w14:paraId="54E1F2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43.45 </w:t>
            </w:r>
          </w:p>
        </w:tc>
        <w:tc>
          <w:tcPr>
            <w:tcW w:w="319" w:type="pct"/>
            <w:shd w:val="clear" w:color="auto" w:fill="auto"/>
            <w:vAlign w:val="center"/>
          </w:tcPr>
          <w:p w14:paraId="5DA6EF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F8DBF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8A97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538" w:hRule="atLeast"/>
        </w:trPr>
        <w:tc>
          <w:tcPr>
            <w:tcW w:w="225" w:type="pct"/>
            <w:shd w:val="clear" w:color="auto" w:fill="auto"/>
            <w:vAlign w:val="center"/>
          </w:tcPr>
          <w:p w14:paraId="4B0258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132</w:t>
            </w:r>
          </w:p>
        </w:tc>
        <w:tc>
          <w:tcPr>
            <w:tcW w:w="490" w:type="pct"/>
            <w:shd w:val="clear" w:color="auto" w:fill="auto"/>
            <w:vAlign w:val="center"/>
          </w:tcPr>
          <w:p w14:paraId="5C06A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宝鸡市北绕城高速公路项目</w:t>
            </w:r>
          </w:p>
        </w:tc>
        <w:tc>
          <w:tcPr>
            <w:tcW w:w="2040" w:type="pct"/>
            <w:shd w:val="clear" w:color="auto" w:fill="auto"/>
            <w:vAlign w:val="center"/>
          </w:tcPr>
          <w:p w14:paraId="286F4CE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初步设计路线起于虢镇东枢纽立交，向西北上跨陇海铁路上塬，在周原镇东北设周原立交与G244相连，经太子沟村、坡子村、营子头村，在宝鸡北服务区北侧设枢纽立交与银昆高速相接，在千河东岸杨家沟村设千河立交，之后向西从王家崖水库大坝下游跨越千河并上蟠龙塬，从蟠龙新区规划区北侧边缘通过，在贾村镇以南设蟠龙新区立交，经东坡村、广福村、塔寺头村，从温家寨跨越金陵河，再向西设隧道穿越胜利塬，跨越玉涧河后在马家原村北侧设陵原立交，之后展线下塬，设隧道穿越硖石塬，再上跨陇海铁路、渭河后与连霍高速相接。路线全长45公里</w:t>
            </w:r>
          </w:p>
        </w:tc>
        <w:tc>
          <w:tcPr>
            <w:tcW w:w="460" w:type="pct"/>
            <w:shd w:val="clear" w:color="auto" w:fill="auto"/>
            <w:vAlign w:val="center"/>
          </w:tcPr>
          <w:p w14:paraId="0FFAE3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819AF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F870F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66DC8F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7124CC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5D73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9D4F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79" w:hRule="atLeast"/>
        </w:trPr>
        <w:tc>
          <w:tcPr>
            <w:tcW w:w="225" w:type="pct"/>
            <w:shd w:val="clear" w:color="auto" w:fill="auto"/>
            <w:vAlign w:val="center"/>
          </w:tcPr>
          <w:p w14:paraId="573AA1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133</w:t>
            </w:r>
          </w:p>
        </w:tc>
        <w:tc>
          <w:tcPr>
            <w:tcW w:w="490" w:type="pct"/>
            <w:shd w:val="clear" w:color="auto" w:fill="auto"/>
            <w:vAlign w:val="center"/>
          </w:tcPr>
          <w:p w14:paraId="32D909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区沿河路贯通项目</w:t>
            </w:r>
          </w:p>
        </w:tc>
        <w:tc>
          <w:tcPr>
            <w:tcW w:w="2040" w:type="pct"/>
            <w:shd w:val="clear" w:color="auto" w:fill="auto"/>
            <w:vAlign w:val="center"/>
          </w:tcPr>
          <w:p w14:paraId="484EBED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建设道路8000米，宽10米，配套建设排水、路灯、绿化等设施</w:t>
            </w:r>
          </w:p>
        </w:tc>
        <w:tc>
          <w:tcPr>
            <w:tcW w:w="460" w:type="pct"/>
            <w:shd w:val="clear" w:color="auto" w:fill="auto"/>
            <w:vAlign w:val="center"/>
          </w:tcPr>
          <w:p w14:paraId="6CF574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69E404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E64B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EDD49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E5B58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FDAA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7B8D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7DD443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134</w:t>
            </w:r>
          </w:p>
        </w:tc>
        <w:tc>
          <w:tcPr>
            <w:tcW w:w="490" w:type="pct"/>
            <w:shd w:val="clear" w:color="auto" w:fill="auto"/>
            <w:vAlign w:val="center"/>
          </w:tcPr>
          <w:p w14:paraId="55B06C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蟠龙新区客运站建设项目（原宝鸡汽车北站搬迁）</w:t>
            </w:r>
          </w:p>
        </w:tc>
        <w:tc>
          <w:tcPr>
            <w:tcW w:w="2040" w:type="pct"/>
            <w:shd w:val="clear" w:color="auto" w:fill="auto"/>
            <w:vAlign w:val="center"/>
          </w:tcPr>
          <w:p w14:paraId="1CFD32E2">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计划将原宝鸡汽车北站迁至蟠龙新区，建设候车厅、售票厅、行包托运处、客运站台、停车场并配套建设维修车间、洗车台等附属用房</w:t>
            </w:r>
          </w:p>
        </w:tc>
        <w:tc>
          <w:tcPr>
            <w:tcW w:w="460" w:type="pct"/>
            <w:shd w:val="clear" w:color="auto" w:fill="auto"/>
            <w:vAlign w:val="center"/>
          </w:tcPr>
          <w:p w14:paraId="56970A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42EA6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09F6F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AABB1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53BFB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836CD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市交通局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9DB0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1EDE84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135</w:t>
            </w:r>
          </w:p>
        </w:tc>
        <w:tc>
          <w:tcPr>
            <w:tcW w:w="490" w:type="pct"/>
            <w:shd w:val="clear" w:color="auto" w:fill="auto"/>
            <w:vAlign w:val="center"/>
          </w:tcPr>
          <w:p w14:paraId="0E8FBA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S222宝鸡市区西过境金台段</w:t>
            </w:r>
          </w:p>
        </w:tc>
        <w:tc>
          <w:tcPr>
            <w:tcW w:w="2040" w:type="pct"/>
            <w:shd w:val="clear" w:color="auto" w:fill="auto"/>
            <w:vAlign w:val="center"/>
          </w:tcPr>
          <w:p w14:paraId="72062D88">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全长15.3公里，建设4座桥梁，配套建设雨污管网、道路照明等设施</w:t>
            </w:r>
          </w:p>
        </w:tc>
        <w:tc>
          <w:tcPr>
            <w:tcW w:w="460" w:type="pct"/>
            <w:shd w:val="clear" w:color="auto" w:fill="auto"/>
            <w:vAlign w:val="center"/>
          </w:tcPr>
          <w:p w14:paraId="5ABEAE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2B356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2018-2022</w:t>
            </w:r>
          </w:p>
        </w:tc>
        <w:tc>
          <w:tcPr>
            <w:tcW w:w="321" w:type="pct"/>
            <w:shd w:val="clear" w:color="auto" w:fill="auto"/>
            <w:vAlign w:val="center"/>
          </w:tcPr>
          <w:p w14:paraId="079F1C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3.57 </w:t>
            </w:r>
          </w:p>
        </w:tc>
        <w:tc>
          <w:tcPr>
            <w:tcW w:w="377" w:type="pct"/>
            <w:shd w:val="clear" w:color="auto" w:fill="auto"/>
            <w:vAlign w:val="center"/>
          </w:tcPr>
          <w:p w14:paraId="09057E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1.00 </w:t>
            </w:r>
          </w:p>
        </w:tc>
        <w:tc>
          <w:tcPr>
            <w:tcW w:w="319" w:type="pct"/>
            <w:shd w:val="clear" w:color="auto" w:fill="auto"/>
            <w:vAlign w:val="center"/>
          </w:tcPr>
          <w:p w14:paraId="3D8B79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E8B05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10197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469D14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136</w:t>
            </w:r>
          </w:p>
        </w:tc>
        <w:tc>
          <w:tcPr>
            <w:tcW w:w="490" w:type="pct"/>
            <w:shd w:val="clear" w:color="auto" w:fill="auto"/>
            <w:vAlign w:val="center"/>
          </w:tcPr>
          <w:p w14:paraId="7EC090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连霍高速宝鸡城区过境段市政化改造工程</w:t>
            </w:r>
          </w:p>
        </w:tc>
        <w:tc>
          <w:tcPr>
            <w:tcW w:w="2040" w:type="pct"/>
            <w:shd w:val="clear" w:color="auto" w:fill="auto"/>
            <w:vAlign w:val="center"/>
          </w:tcPr>
          <w:p w14:paraId="43FDF7A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东起千河立交，西至斗中路收费站，建设里程6.89公里，道路加宽为双向六车道，建设桥梁7座（含上跨主线桥和匝道桥），互通式立交2处，主线收费站2处</w:t>
            </w:r>
          </w:p>
        </w:tc>
        <w:tc>
          <w:tcPr>
            <w:tcW w:w="460" w:type="pct"/>
            <w:shd w:val="clear" w:color="auto" w:fill="auto"/>
            <w:vAlign w:val="center"/>
          </w:tcPr>
          <w:p w14:paraId="5466EE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54B46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3CF2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16 </w:t>
            </w:r>
          </w:p>
        </w:tc>
        <w:tc>
          <w:tcPr>
            <w:tcW w:w="377" w:type="pct"/>
            <w:shd w:val="clear" w:color="auto" w:fill="auto"/>
            <w:vAlign w:val="center"/>
          </w:tcPr>
          <w:p w14:paraId="326723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646F03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06889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市住建局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区住建局</w:t>
            </w:r>
          </w:p>
        </w:tc>
      </w:tr>
      <w:tr w14:paraId="1BC04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2E3D8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137</w:t>
            </w:r>
          </w:p>
        </w:tc>
        <w:tc>
          <w:tcPr>
            <w:tcW w:w="490" w:type="pct"/>
            <w:shd w:val="clear" w:color="auto" w:fill="auto"/>
            <w:vAlign w:val="center"/>
          </w:tcPr>
          <w:p w14:paraId="354099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金台区农村道路建设项目</w:t>
            </w:r>
          </w:p>
        </w:tc>
        <w:tc>
          <w:tcPr>
            <w:tcW w:w="2040" w:type="pct"/>
            <w:shd w:val="clear" w:color="auto" w:fill="auto"/>
            <w:vAlign w:val="center"/>
          </w:tcPr>
          <w:p w14:paraId="7926970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在蟠龙镇、金河镇、硖石镇等村建设农村道路、排水渠、停靠站、铺设电力电缆，并安装照明路灯等</w:t>
            </w:r>
          </w:p>
        </w:tc>
        <w:tc>
          <w:tcPr>
            <w:tcW w:w="460" w:type="pct"/>
            <w:shd w:val="clear" w:color="auto" w:fill="auto"/>
            <w:vAlign w:val="center"/>
          </w:tcPr>
          <w:p w14:paraId="570B4E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硖石镇  </w:t>
            </w:r>
          </w:p>
          <w:p w14:paraId="3062AD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733C3E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BA958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63A65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4C6C5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22C59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55E02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68366F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138</w:t>
            </w:r>
          </w:p>
        </w:tc>
        <w:tc>
          <w:tcPr>
            <w:tcW w:w="490" w:type="pct"/>
            <w:shd w:val="clear" w:color="auto" w:fill="auto"/>
            <w:vAlign w:val="center"/>
          </w:tcPr>
          <w:p w14:paraId="46A426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蟠龙新区宝蟠路道路改造工程项目</w:t>
            </w:r>
          </w:p>
        </w:tc>
        <w:tc>
          <w:tcPr>
            <w:tcW w:w="2040" w:type="pct"/>
            <w:shd w:val="clear" w:color="auto" w:fill="auto"/>
            <w:vAlign w:val="center"/>
          </w:tcPr>
          <w:p w14:paraId="5D0D8D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该项目拟采用路、桥结合方式，附属排水沟渠、边坡防护。道路全长9公里，道路宽21米，双向四车道，设计车速40公里/小时，外侧设有慢道、紧急停车带</w:t>
            </w:r>
          </w:p>
        </w:tc>
        <w:tc>
          <w:tcPr>
            <w:tcW w:w="460" w:type="pct"/>
            <w:shd w:val="clear" w:color="auto" w:fill="auto"/>
            <w:vAlign w:val="center"/>
          </w:tcPr>
          <w:p w14:paraId="03F0B4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099FC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A478D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1A7BF0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0A196F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695C8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6BBC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1" w:hRule="atLeast"/>
        </w:trPr>
        <w:tc>
          <w:tcPr>
            <w:tcW w:w="225" w:type="pct"/>
            <w:shd w:val="clear" w:color="auto" w:fill="auto"/>
            <w:vAlign w:val="center"/>
          </w:tcPr>
          <w:p w14:paraId="548686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139</w:t>
            </w:r>
          </w:p>
        </w:tc>
        <w:tc>
          <w:tcPr>
            <w:tcW w:w="490" w:type="pct"/>
            <w:shd w:val="clear" w:color="auto" w:fill="auto"/>
            <w:vAlign w:val="center"/>
          </w:tcPr>
          <w:p w14:paraId="0EFF01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蟠龙新区底县路改造项目</w:t>
            </w:r>
          </w:p>
        </w:tc>
        <w:tc>
          <w:tcPr>
            <w:tcW w:w="2040" w:type="pct"/>
            <w:shd w:val="clear" w:color="auto" w:fill="auto"/>
            <w:vAlign w:val="center"/>
          </w:tcPr>
          <w:p w14:paraId="49C76A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道路全长6.8公里，宽60米，主要建设内容为：道路工程、排水工程、综合管廊、交通工程、照明工程等</w:t>
            </w:r>
          </w:p>
        </w:tc>
        <w:tc>
          <w:tcPr>
            <w:tcW w:w="460" w:type="pct"/>
            <w:shd w:val="clear" w:color="auto" w:fill="auto"/>
            <w:vAlign w:val="center"/>
          </w:tcPr>
          <w:p w14:paraId="255BE4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C37A0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C01A0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77" w:type="pct"/>
            <w:shd w:val="clear" w:color="auto" w:fill="auto"/>
            <w:vAlign w:val="center"/>
          </w:tcPr>
          <w:p w14:paraId="5B7864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5.5</w:t>
            </w:r>
          </w:p>
        </w:tc>
        <w:tc>
          <w:tcPr>
            <w:tcW w:w="319" w:type="pct"/>
            <w:shd w:val="clear" w:color="auto" w:fill="auto"/>
            <w:vAlign w:val="center"/>
          </w:tcPr>
          <w:p w14:paraId="7C467A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9881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C224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7B88B2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140</w:t>
            </w:r>
          </w:p>
        </w:tc>
        <w:tc>
          <w:tcPr>
            <w:tcW w:w="490" w:type="pct"/>
            <w:shd w:val="clear" w:color="auto" w:fill="auto"/>
            <w:vAlign w:val="center"/>
          </w:tcPr>
          <w:p w14:paraId="252DF4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蟠龙新区龙盘东路建设项目</w:t>
            </w:r>
          </w:p>
        </w:tc>
        <w:tc>
          <w:tcPr>
            <w:tcW w:w="2040" w:type="pct"/>
            <w:shd w:val="clear" w:color="auto" w:fill="auto"/>
            <w:vAlign w:val="center"/>
          </w:tcPr>
          <w:p w14:paraId="03B62C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道路全长6.6公里，宽13米，主要建设道路、排水、照明、交通信号等</w:t>
            </w:r>
          </w:p>
        </w:tc>
        <w:tc>
          <w:tcPr>
            <w:tcW w:w="460" w:type="pct"/>
            <w:shd w:val="clear" w:color="auto" w:fill="auto"/>
            <w:vAlign w:val="center"/>
          </w:tcPr>
          <w:p w14:paraId="5E5637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CF505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4BC420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279D1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57C01A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CDD3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4F14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vMerge w:val="restart"/>
            <w:shd w:val="clear" w:color="auto" w:fill="auto"/>
            <w:vAlign w:val="center"/>
          </w:tcPr>
          <w:p w14:paraId="3AAAE3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141</w:t>
            </w:r>
          </w:p>
        </w:tc>
        <w:tc>
          <w:tcPr>
            <w:tcW w:w="490" w:type="pct"/>
            <w:vMerge w:val="restart"/>
            <w:shd w:val="clear" w:color="auto" w:fill="auto"/>
            <w:vAlign w:val="center"/>
          </w:tcPr>
          <w:p w14:paraId="1C91E1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金台区公路改造工程（含2个子项目，总投资0.28亿元）</w:t>
            </w:r>
          </w:p>
        </w:tc>
        <w:tc>
          <w:tcPr>
            <w:tcW w:w="2040" w:type="pct"/>
            <w:shd w:val="clear" w:color="auto" w:fill="auto"/>
            <w:vAlign w:val="center"/>
          </w:tcPr>
          <w:p w14:paraId="5B6345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宝鸡至蟠龙镇公路改造工程，从金陵东路（S212）到底县公路旧路改造8.468公里</w:t>
            </w:r>
          </w:p>
        </w:tc>
        <w:tc>
          <w:tcPr>
            <w:tcW w:w="460" w:type="pct"/>
            <w:shd w:val="clear" w:color="auto" w:fill="auto"/>
            <w:vAlign w:val="center"/>
          </w:tcPr>
          <w:p w14:paraId="52BCFE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vMerge w:val="restart"/>
            <w:shd w:val="clear" w:color="auto" w:fill="auto"/>
            <w:vAlign w:val="center"/>
          </w:tcPr>
          <w:p w14:paraId="408B5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4F6EEB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77" w:type="pct"/>
            <w:shd w:val="clear" w:color="auto" w:fill="auto"/>
            <w:vAlign w:val="center"/>
          </w:tcPr>
          <w:p w14:paraId="2A0B92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0.0815</w:t>
            </w:r>
          </w:p>
        </w:tc>
        <w:tc>
          <w:tcPr>
            <w:tcW w:w="319" w:type="pct"/>
            <w:vMerge w:val="restart"/>
            <w:shd w:val="clear" w:color="auto" w:fill="auto"/>
            <w:vAlign w:val="center"/>
          </w:tcPr>
          <w:p w14:paraId="4543E6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37A4F0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区交通局</w:t>
            </w:r>
          </w:p>
        </w:tc>
      </w:tr>
      <w:tr w14:paraId="03956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vMerge w:val="continue"/>
            <w:vAlign w:val="center"/>
          </w:tcPr>
          <w:p w14:paraId="53E8710D">
            <w:pPr>
              <w:adjustRightInd w:val="0"/>
              <w:snapToGrid w:val="0"/>
              <w:rPr>
                <w:rFonts w:ascii="仿宋_GB2312" w:hAnsi="宋体" w:eastAsia="仿宋_GB2312" w:cs="宋体"/>
                <w:kern w:val="0"/>
                <w:sz w:val="20"/>
                <w:szCs w:val="20"/>
              </w:rPr>
            </w:pPr>
          </w:p>
        </w:tc>
        <w:tc>
          <w:tcPr>
            <w:tcW w:w="490" w:type="pct"/>
            <w:vMerge w:val="continue"/>
            <w:vAlign w:val="center"/>
          </w:tcPr>
          <w:p w14:paraId="2F84DEF0">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61A499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罗家棱至高家湾公路改造工程，从宝福路（市政路）到高家湾村省道旧路改造19.55公里</w:t>
            </w:r>
          </w:p>
        </w:tc>
        <w:tc>
          <w:tcPr>
            <w:tcW w:w="460" w:type="pct"/>
            <w:shd w:val="clear" w:color="auto" w:fill="auto"/>
            <w:vAlign w:val="center"/>
          </w:tcPr>
          <w:p w14:paraId="4FFD29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vMerge w:val="continue"/>
            <w:vAlign w:val="center"/>
          </w:tcPr>
          <w:p w14:paraId="02BB5C11">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68FA4F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77" w:type="pct"/>
            <w:shd w:val="clear" w:color="auto" w:fill="auto"/>
            <w:vAlign w:val="center"/>
          </w:tcPr>
          <w:p w14:paraId="44D59D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0.1979</w:t>
            </w:r>
          </w:p>
        </w:tc>
        <w:tc>
          <w:tcPr>
            <w:tcW w:w="319" w:type="pct"/>
            <w:vMerge w:val="continue"/>
            <w:vAlign w:val="center"/>
          </w:tcPr>
          <w:p w14:paraId="68285AC6">
            <w:pPr>
              <w:adjustRightInd w:val="0"/>
              <w:snapToGrid w:val="0"/>
              <w:rPr>
                <w:rFonts w:ascii="仿宋_GB2312" w:hAnsi="宋体" w:eastAsia="仿宋_GB2312" w:cs="宋体"/>
                <w:kern w:val="0"/>
                <w:sz w:val="20"/>
                <w:szCs w:val="20"/>
              </w:rPr>
            </w:pPr>
          </w:p>
        </w:tc>
        <w:tc>
          <w:tcPr>
            <w:tcW w:w="392" w:type="pct"/>
            <w:vMerge w:val="continue"/>
            <w:vAlign w:val="center"/>
          </w:tcPr>
          <w:p w14:paraId="48FB0D2E">
            <w:pPr>
              <w:adjustRightInd w:val="0"/>
              <w:snapToGrid w:val="0"/>
              <w:rPr>
                <w:rFonts w:ascii="仿宋_GB2312" w:hAnsi="宋体" w:eastAsia="仿宋_GB2312" w:cs="宋体"/>
                <w:kern w:val="0"/>
                <w:sz w:val="20"/>
                <w:szCs w:val="20"/>
              </w:rPr>
            </w:pPr>
          </w:p>
        </w:tc>
      </w:tr>
      <w:tr w14:paraId="7E424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1" w:hRule="atLeast"/>
        </w:trPr>
        <w:tc>
          <w:tcPr>
            <w:tcW w:w="225" w:type="pct"/>
            <w:vMerge w:val="restart"/>
            <w:shd w:val="clear" w:color="auto" w:fill="auto"/>
            <w:vAlign w:val="center"/>
          </w:tcPr>
          <w:p w14:paraId="27B555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142</w:t>
            </w:r>
          </w:p>
        </w:tc>
        <w:tc>
          <w:tcPr>
            <w:tcW w:w="490" w:type="pct"/>
            <w:vMerge w:val="restart"/>
            <w:shd w:val="clear" w:color="auto" w:fill="auto"/>
            <w:vAlign w:val="center"/>
          </w:tcPr>
          <w:p w14:paraId="4238A8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蟠龙新区道路建设项目（含4个子项目，总投资1.68亿元）</w:t>
            </w:r>
          </w:p>
        </w:tc>
        <w:tc>
          <w:tcPr>
            <w:tcW w:w="2040" w:type="pct"/>
            <w:shd w:val="clear" w:color="auto" w:fill="auto"/>
            <w:vAlign w:val="center"/>
          </w:tcPr>
          <w:p w14:paraId="5AF7702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观峰大道西段建设项目，道路全长600米，包括道路、雨污水工程、给水、中水、电力通信、交通工程</w:t>
            </w:r>
          </w:p>
        </w:tc>
        <w:tc>
          <w:tcPr>
            <w:tcW w:w="460" w:type="pct"/>
            <w:vMerge w:val="restart"/>
            <w:shd w:val="clear" w:color="auto" w:fill="auto"/>
            <w:vAlign w:val="center"/>
          </w:tcPr>
          <w:p w14:paraId="3C1CEA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106BC7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2F1A54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77" w:type="pct"/>
            <w:shd w:val="clear" w:color="auto" w:fill="auto"/>
            <w:vAlign w:val="center"/>
          </w:tcPr>
          <w:p w14:paraId="032007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0.21</w:t>
            </w:r>
          </w:p>
        </w:tc>
        <w:tc>
          <w:tcPr>
            <w:tcW w:w="319" w:type="pct"/>
            <w:vMerge w:val="restart"/>
            <w:shd w:val="clear" w:color="auto" w:fill="auto"/>
            <w:vAlign w:val="center"/>
          </w:tcPr>
          <w:p w14:paraId="46C13A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346AEE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管委会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蟠龙镇</w:t>
            </w:r>
          </w:p>
        </w:tc>
      </w:tr>
      <w:tr w14:paraId="120F0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8" w:hRule="atLeast"/>
        </w:trPr>
        <w:tc>
          <w:tcPr>
            <w:tcW w:w="225" w:type="pct"/>
            <w:vMerge w:val="continue"/>
            <w:vAlign w:val="center"/>
          </w:tcPr>
          <w:p w14:paraId="7C021160">
            <w:pPr>
              <w:adjustRightInd w:val="0"/>
              <w:snapToGrid w:val="0"/>
              <w:rPr>
                <w:rFonts w:ascii="仿宋_GB2312" w:hAnsi="宋体" w:eastAsia="仿宋_GB2312" w:cs="宋体"/>
                <w:kern w:val="0"/>
                <w:sz w:val="20"/>
                <w:szCs w:val="20"/>
              </w:rPr>
            </w:pPr>
          </w:p>
        </w:tc>
        <w:tc>
          <w:tcPr>
            <w:tcW w:w="490" w:type="pct"/>
            <w:vMerge w:val="continue"/>
            <w:vAlign w:val="center"/>
          </w:tcPr>
          <w:p w14:paraId="481C05F1">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35B3DEA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大韩村路南段建设项目，道路全长377米，包括道路、雨污水工程、给水、中水、电力通信、交通工程</w:t>
            </w:r>
          </w:p>
        </w:tc>
        <w:tc>
          <w:tcPr>
            <w:tcW w:w="460" w:type="pct"/>
            <w:vMerge w:val="continue"/>
            <w:shd w:val="clear" w:color="auto" w:fill="auto"/>
            <w:vAlign w:val="center"/>
          </w:tcPr>
          <w:p w14:paraId="1548E2F5">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10CBD553">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03011C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77" w:type="pct"/>
            <w:shd w:val="clear" w:color="auto" w:fill="auto"/>
            <w:vAlign w:val="center"/>
          </w:tcPr>
          <w:p w14:paraId="64F31D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0.13</w:t>
            </w:r>
          </w:p>
        </w:tc>
        <w:tc>
          <w:tcPr>
            <w:tcW w:w="319" w:type="pct"/>
            <w:vMerge w:val="continue"/>
            <w:vAlign w:val="center"/>
          </w:tcPr>
          <w:p w14:paraId="14EEA776">
            <w:pPr>
              <w:adjustRightInd w:val="0"/>
              <w:snapToGrid w:val="0"/>
              <w:rPr>
                <w:rFonts w:ascii="仿宋_GB2312" w:hAnsi="宋体" w:eastAsia="仿宋_GB2312" w:cs="宋体"/>
                <w:kern w:val="0"/>
                <w:sz w:val="20"/>
                <w:szCs w:val="20"/>
              </w:rPr>
            </w:pPr>
          </w:p>
        </w:tc>
        <w:tc>
          <w:tcPr>
            <w:tcW w:w="392" w:type="pct"/>
            <w:vMerge w:val="continue"/>
            <w:vAlign w:val="center"/>
          </w:tcPr>
          <w:p w14:paraId="3EFE498F">
            <w:pPr>
              <w:adjustRightInd w:val="0"/>
              <w:snapToGrid w:val="0"/>
              <w:rPr>
                <w:rFonts w:ascii="仿宋_GB2312" w:hAnsi="宋体" w:eastAsia="仿宋_GB2312" w:cs="宋体"/>
                <w:kern w:val="0"/>
                <w:sz w:val="20"/>
                <w:szCs w:val="20"/>
              </w:rPr>
            </w:pPr>
          </w:p>
        </w:tc>
      </w:tr>
      <w:tr w14:paraId="3CDE6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225" w:type="pct"/>
            <w:vMerge w:val="continue"/>
            <w:vAlign w:val="center"/>
          </w:tcPr>
          <w:p w14:paraId="17623C4F">
            <w:pPr>
              <w:adjustRightInd w:val="0"/>
              <w:snapToGrid w:val="0"/>
              <w:rPr>
                <w:rFonts w:ascii="仿宋_GB2312" w:hAnsi="宋体" w:eastAsia="仿宋_GB2312" w:cs="宋体"/>
                <w:kern w:val="0"/>
                <w:sz w:val="20"/>
                <w:szCs w:val="20"/>
              </w:rPr>
            </w:pPr>
          </w:p>
        </w:tc>
        <w:tc>
          <w:tcPr>
            <w:tcW w:w="490" w:type="pct"/>
            <w:vMerge w:val="continue"/>
            <w:vAlign w:val="center"/>
          </w:tcPr>
          <w:p w14:paraId="26DB59A6">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45DE4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中北路建设项目，道路全长513米，包括道路、雨污水工程、给水、中水、电力通信、交通工程</w:t>
            </w:r>
          </w:p>
        </w:tc>
        <w:tc>
          <w:tcPr>
            <w:tcW w:w="460" w:type="pct"/>
            <w:vMerge w:val="continue"/>
            <w:shd w:val="clear" w:color="auto" w:fill="auto"/>
            <w:vAlign w:val="center"/>
          </w:tcPr>
          <w:p w14:paraId="406EE9ED">
            <w:pPr>
              <w:adjustRightInd w:val="0"/>
              <w:snapToGrid w:val="0"/>
              <w:jc w:val="center"/>
              <w:rPr>
                <w:rFonts w:ascii="仿宋_GB2312" w:hAnsi="宋体" w:eastAsia="仿宋_GB2312" w:cs="宋体"/>
                <w:kern w:val="0"/>
                <w:sz w:val="20"/>
                <w:szCs w:val="20"/>
              </w:rPr>
            </w:pPr>
          </w:p>
        </w:tc>
        <w:tc>
          <w:tcPr>
            <w:tcW w:w="374" w:type="pct"/>
            <w:vMerge w:val="continue"/>
            <w:vAlign w:val="center"/>
          </w:tcPr>
          <w:p w14:paraId="6426A86B">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6B9864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11049B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vMerge w:val="continue"/>
            <w:vAlign w:val="center"/>
          </w:tcPr>
          <w:p w14:paraId="68B65093">
            <w:pPr>
              <w:adjustRightInd w:val="0"/>
              <w:snapToGrid w:val="0"/>
              <w:rPr>
                <w:rFonts w:ascii="仿宋_GB2312" w:hAnsi="宋体" w:eastAsia="仿宋_GB2312" w:cs="宋体"/>
                <w:kern w:val="0"/>
                <w:sz w:val="20"/>
                <w:szCs w:val="20"/>
              </w:rPr>
            </w:pPr>
          </w:p>
        </w:tc>
        <w:tc>
          <w:tcPr>
            <w:tcW w:w="392" w:type="pct"/>
            <w:vMerge w:val="continue"/>
            <w:vAlign w:val="center"/>
          </w:tcPr>
          <w:p w14:paraId="53E217A0">
            <w:pPr>
              <w:adjustRightInd w:val="0"/>
              <w:snapToGrid w:val="0"/>
              <w:rPr>
                <w:rFonts w:ascii="仿宋_GB2312" w:hAnsi="宋体" w:eastAsia="仿宋_GB2312" w:cs="宋体"/>
                <w:kern w:val="0"/>
                <w:sz w:val="20"/>
                <w:szCs w:val="20"/>
              </w:rPr>
            </w:pPr>
          </w:p>
        </w:tc>
      </w:tr>
      <w:tr w14:paraId="1A91F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0" w:hRule="atLeast"/>
        </w:trPr>
        <w:tc>
          <w:tcPr>
            <w:tcW w:w="225" w:type="pct"/>
            <w:vMerge w:val="continue"/>
            <w:vAlign w:val="center"/>
          </w:tcPr>
          <w:p w14:paraId="74A86FBB">
            <w:pPr>
              <w:adjustRightInd w:val="0"/>
              <w:snapToGrid w:val="0"/>
              <w:rPr>
                <w:rFonts w:ascii="仿宋_GB2312" w:hAnsi="宋体" w:eastAsia="仿宋_GB2312" w:cs="宋体"/>
                <w:kern w:val="0"/>
                <w:sz w:val="20"/>
                <w:szCs w:val="20"/>
              </w:rPr>
            </w:pPr>
          </w:p>
        </w:tc>
        <w:tc>
          <w:tcPr>
            <w:tcW w:w="490" w:type="pct"/>
            <w:vMerge w:val="continue"/>
            <w:vAlign w:val="center"/>
          </w:tcPr>
          <w:p w14:paraId="3C01C1AF">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217F67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西营路建设项目，新建道路全长1499.901米，宽46米，配套给排水、交通、照明及附属工程，场地进行硬化、种植人工草皮，配套建设围网、排水沟、照明等</w:t>
            </w:r>
          </w:p>
        </w:tc>
        <w:tc>
          <w:tcPr>
            <w:tcW w:w="460" w:type="pct"/>
            <w:vMerge w:val="continue"/>
            <w:shd w:val="clear" w:color="auto" w:fill="auto"/>
            <w:vAlign w:val="center"/>
          </w:tcPr>
          <w:p w14:paraId="74FFC17E">
            <w:pPr>
              <w:adjustRightInd w:val="0"/>
              <w:snapToGrid w:val="0"/>
              <w:jc w:val="center"/>
              <w:rPr>
                <w:rFonts w:ascii="仿宋_GB2312" w:hAnsi="宋体" w:eastAsia="仿宋_GB2312" w:cs="宋体"/>
                <w:kern w:val="0"/>
                <w:sz w:val="20"/>
                <w:szCs w:val="20"/>
              </w:rPr>
            </w:pPr>
          </w:p>
        </w:tc>
        <w:tc>
          <w:tcPr>
            <w:tcW w:w="374" w:type="pct"/>
            <w:shd w:val="clear" w:color="auto" w:fill="auto"/>
            <w:vAlign w:val="center"/>
          </w:tcPr>
          <w:p w14:paraId="36FAF2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D7719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77" w:type="pct"/>
            <w:shd w:val="clear" w:color="auto" w:fill="auto"/>
            <w:vAlign w:val="center"/>
          </w:tcPr>
          <w:p w14:paraId="401FBC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1.18</w:t>
            </w:r>
          </w:p>
        </w:tc>
        <w:tc>
          <w:tcPr>
            <w:tcW w:w="319" w:type="pct"/>
            <w:vMerge w:val="continue"/>
            <w:vAlign w:val="center"/>
          </w:tcPr>
          <w:p w14:paraId="24F89881">
            <w:pPr>
              <w:adjustRightInd w:val="0"/>
              <w:snapToGrid w:val="0"/>
              <w:rPr>
                <w:rFonts w:ascii="仿宋_GB2312" w:hAnsi="宋体" w:eastAsia="仿宋_GB2312" w:cs="宋体"/>
                <w:kern w:val="0"/>
                <w:sz w:val="20"/>
                <w:szCs w:val="20"/>
              </w:rPr>
            </w:pPr>
          </w:p>
        </w:tc>
        <w:tc>
          <w:tcPr>
            <w:tcW w:w="392" w:type="pct"/>
            <w:vMerge w:val="continue"/>
            <w:vAlign w:val="center"/>
          </w:tcPr>
          <w:p w14:paraId="7B8DF1E6">
            <w:pPr>
              <w:adjustRightInd w:val="0"/>
              <w:snapToGrid w:val="0"/>
              <w:rPr>
                <w:rFonts w:ascii="仿宋_GB2312" w:hAnsi="宋体" w:eastAsia="仿宋_GB2312" w:cs="宋体"/>
                <w:kern w:val="0"/>
                <w:sz w:val="20"/>
                <w:szCs w:val="20"/>
              </w:rPr>
            </w:pPr>
          </w:p>
        </w:tc>
      </w:tr>
      <w:tr w14:paraId="653B2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35D83F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6E7ECE5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机场（1）</w:t>
            </w:r>
          </w:p>
        </w:tc>
        <w:tc>
          <w:tcPr>
            <w:tcW w:w="2040" w:type="pct"/>
            <w:shd w:val="clear" w:color="auto" w:fill="auto"/>
            <w:vAlign w:val="center"/>
          </w:tcPr>
          <w:p w14:paraId="0C575C1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6CD892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825FD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01CC6C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622587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406483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57124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6C2C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2A79DB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143</w:t>
            </w:r>
          </w:p>
        </w:tc>
        <w:tc>
          <w:tcPr>
            <w:tcW w:w="490" w:type="pct"/>
            <w:shd w:val="clear" w:color="auto" w:fill="auto"/>
            <w:vAlign w:val="center"/>
          </w:tcPr>
          <w:p w14:paraId="42ADC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金台区通用机场项目</w:t>
            </w:r>
          </w:p>
        </w:tc>
        <w:tc>
          <w:tcPr>
            <w:tcW w:w="2040" w:type="pct"/>
            <w:shd w:val="clear" w:color="auto" w:fill="auto"/>
            <w:vAlign w:val="center"/>
          </w:tcPr>
          <w:p w14:paraId="604865F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在现有农林800米跑道基础上扩建400米跑道（共计1200米）；建设600平方米机库8个；建设1600平方米飞机维修厂房1个；建设800航油车库1个及其他航油设施</w:t>
            </w:r>
          </w:p>
        </w:tc>
        <w:tc>
          <w:tcPr>
            <w:tcW w:w="460" w:type="pct"/>
            <w:shd w:val="clear" w:color="auto" w:fill="auto"/>
            <w:vAlign w:val="center"/>
          </w:tcPr>
          <w:p w14:paraId="7D0DDD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金河镇胜利塬</w:t>
            </w:r>
          </w:p>
        </w:tc>
        <w:tc>
          <w:tcPr>
            <w:tcW w:w="374" w:type="pct"/>
            <w:shd w:val="clear" w:color="auto" w:fill="auto"/>
            <w:vAlign w:val="center"/>
          </w:tcPr>
          <w:p w14:paraId="6E0847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E544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77" w:type="pct"/>
            <w:shd w:val="clear" w:color="auto" w:fill="auto"/>
            <w:vAlign w:val="center"/>
          </w:tcPr>
          <w:p w14:paraId="2CAA8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3.8</w:t>
            </w:r>
          </w:p>
        </w:tc>
        <w:tc>
          <w:tcPr>
            <w:tcW w:w="319" w:type="pct"/>
            <w:shd w:val="clear" w:color="auto" w:fill="auto"/>
            <w:vAlign w:val="center"/>
          </w:tcPr>
          <w:p w14:paraId="3605B9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2B15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6AB546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39CB0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4FC03C9">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30E36BD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水利（7）</w:t>
            </w:r>
          </w:p>
        </w:tc>
        <w:tc>
          <w:tcPr>
            <w:tcW w:w="2040" w:type="pct"/>
            <w:shd w:val="clear" w:color="auto" w:fill="auto"/>
            <w:vAlign w:val="center"/>
          </w:tcPr>
          <w:p w14:paraId="524EA28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386CAE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7FEB9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126C6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77" w:type="pct"/>
            <w:shd w:val="clear" w:color="auto" w:fill="auto"/>
            <w:vAlign w:val="center"/>
          </w:tcPr>
          <w:p w14:paraId="67DC06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7.32</w:t>
            </w:r>
          </w:p>
        </w:tc>
        <w:tc>
          <w:tcPr>
            <w:tcW w:w="319" w:type="pct"/>
            <w:shd w:val="clear" w:color="auto" w:fill="auto"/>
            <w:vAlign w:val="center"/>
          </w:tcPr>
          <w:p w14:paraId="165BEF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732CA6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24D14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0B4C8D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144</w:t>
            </w:r>
          </w:p>
        </w:tc>
        <w:tc>
          <w:tcPr>
            <w:tcW w:w="490" w:type="pct"/>
            <w:shd w:val="clear" w:color="auto" w:fill="auto"/>
            <w:vAlign w:val="center"/>
          </w:tcPr>
          <w:p w14:paraId="507F81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金台区硖石地区集中供水项目</w:t>
            </w:r>
          </w:p>
        </w:tc>
        <w:tc>
          <w:tcPr>
            <w:tcW w:w="2040" w:type="pct"/>
            <w:shd w:val="clear" w:color="auto" w:fill="auto"/>
            <w:vAlign w:val="center"/>
          </w:tcPr>
          <w:p w14:paraId="4B05CE9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在车辙村新建大口井2口，蓄水池2座；六川河沿线张家崖村、高家湾村、董家村、六川店村新建蓄水池7座，铺设管网20公里，配套建设加氯间等设施</w:t>
            </w:r>
          </w:p>
        </w:tc>
        <w:tc>
          <w:tcPr>
            <w:tcW w:w="460" w:type="pct"/>
            <w:shd w:val="clear" w:color="auto" w:fill="auto"/>
            <w:vAlign w:val="center"/>
          </w:tcPr>
          <w:p w14:paraId="3F35D7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67BA5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45D2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256AB4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45E962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D171A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硖石镇人民政府</w:t>
            </w:r>
          </w:p>
        </w:tc>
      </w:tr>
      <w:tr w14:paraId="68749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054990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145</w:t>
            </w:r>
          </w:p>
        </w:tc>
        <w:tc>
          <w:tcPr>
            <w:tcW w:w="490" w:type="pct"/>
            <w:shd w:val="clear" w:color="auto" w:fill="auto"/>
            <w:vAlign w:val="center"/>
          </w:tcPr>
          <w:p w14:paraId="6022F5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金台区陵原水厂改扩建项目</w:t>
            </w:r>
          </w:p>
        </w:tc>
        <w:tc>
          <w:tcPr>
            <w:tcW w:w="2040" w:type="pct"/>
            <w:shd w:val="clear" w:color="auto" w:fill="auto"/>
            <w:vAlign w:val="center"/>
          </w:tcPr>
          <w:p w14:paraId="2D4D3F2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扩建水厂场站构筑物工程，包括反应池、沉淀池、滤池、配水井、加氯加药间、机修间、仓库、变配电室、清水池及送水泵房、水厂内配套工艺管道及其附属设施；更新原水厂运维控制系统1套</w:t>
            </w:r>
          </w:p>
        </w:tc>
        <w:tc>
          <w:tcPr>
            <w:tcW w:w="460" w:type="pct"/>
            <w:shd w:val="clear" w:color="auto" w:fill="auto"/>
            <w:vAlign w:val="center"/>
          </w:tcPr>
          <w:p w14:paraId="2450B5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金河镇陵玉村</w:t>
            </w:r>
          </w:p>
        </w:tc>
        <w:tc>
          <w:tcPr>
            <w:tcW w:w="374" w:type="pct"/>
            <w:shd w:val="clear" w:color="auto" w:fill="auto"/>
            <w:vAlign w:val="center"/>
          </w:tcPr>
          <w:p w14:paraId="2442E2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9E40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77" w:type="pct"/>
            <w:shd w:val="clear" w:color="auto" w:fill="auto"/>
            <w:vAlign w:val="center"/>
          </w:tcPr>
          <w:p w14:paraId="6FED76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0.23</w:t>
            </w:r>
          </w:p>
        </w:tc>
        <w:tc>
          <w:tcPr>
            <w:tcW w:w="319" w:type="pct"/>
            <w:shd w:val="clear" w:color="auto" w:fill="auto"/>
            <w:vAlign w:val="center"/>
          </w:tcPr>
          <w:p w14:paraId="1E4376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D7FF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490FB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132E29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146</w:t>
            </w:r>
          </w:p>
        </w:tc>
        <w:tc>
          <w:tcPr>
            <w:tcW w:w="490" w:type="pct"/>
            <w:shd w:val="clear" w:color="auto" w:fill="auto"/>
            <w:vAlign w:val="center"/>
          </w:tcPr>
          <w:p w14:paraId="6EBCFBF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1"/>
                <w:kern w:val="0"/>
                <w:sz w:val="20"/>
                <w:szCs w:val="20"/>
              </w:rPr>
              <w:t>蟠龙塬、胜利塬引水工程建设项目</w:t>
            </w:r>
          </w:p>
        </w:tc>
        <w:tc>
          <w:tcPr>
            <w:tcW w:w="2040" w:type="pct"/>
            <w:shd w:val="clear" w:color="auto" w:fill="auto"/>
            <w:vAlign w:val="center"/>
          </w:tcPr>
          <w:p w14:paraId="7BE35EF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分别在蟠龙塬、胜利塬修建灌溉工程，铺设管网共计50公里，修建蓄水池4个</w:t>
            </w:r>
          </w:p>
        </w:tc>
        <w:tc>
          <w:tcPr>
            <w:tcW w:w="460" w:type="pct"/>
            <w:shd w:val="clear" w:color="auto" w:fill="auto"/>
            <w:vAlign w:val="center"/>
          </w:tcPr>
          <w:p w14:paraId="762A49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蟠龙塬  </w:t>
            </w:r>
          </w:p>
          <w:p w14:paraId="74D6D7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229E81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A82EE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3E5BC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5D18BE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C9BC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区农业农村局</w:t>
            </w:r>
          </w:p>
        </w:tc>
      </w:tr>
      <w:tr w14:paraId="6EB08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0" w:hRule="atLeast"/>
        </w:trPr>
        <w:tc>
          <w:tcPr>
            <w:tcW w:w="225" w:type="pct"/>
            <w:shd w:val="clear" w:color="auto" w:fill="auto"/>
            <w:vAlign w:val="center"/>
          </w:tcPr>
          <w:p w14:paraId="083F55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147</w:t>
            </w:r>
          </w:p>
        </w:tc>
        <w:tc>
          <w:tcPr>
            <w:tcW w:w="490" w:type="pct"/>
            <w:shd w:val="clear" w:color="auto" w:fill="auto"/>
            <w:vAlign w:val="center"/>
          </w:tcPr>
          <w:p w14:paraId="2511C8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金台区渭河堤岸提升改造工程</w:t>
            </w:r>
          </w:p>
        </w:tc>
        <w:tc>
          <w:tcPr>
            <w:tcW w:w="2040" w:type="pct"/>
            <w:shd w:val="clear" w:color="auto" w:fill="auto"/>
            <w:vAlign w:val="center"/>
          </w:tcPr>
          <w:p w14:paraId="02B649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对金台区渭河段17.5公里堤顶道路绿化提升改造、建设景观照明、卫生设施等</w:t>
            </w:r>
          </w:p>
        </w:tc>
        <w:tc>
          <w:tcPr>
            <w:tcW w:w="460" w:type="pct"/>
            <w:shd w:val="clear" w:color="auto" w:fill="auto"/>
            <w:vAlign w:val="center"/>
          </w:tcPr>
          <w:p w14:paraId="386A28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金台区渭河沿岸</w:t>
            </w:r>
          </w:p>
        </w:tc>
        <w:tc>
          <w:tcPr>
            <w:tcW w:w="374" w:type="pct"/>
            <w:shd w:val="clear" w:color="auto" w:fill="auto"/>
            <w:vAlign w:val="center"/>
          </w:tcPr>
          <w:p w14:paraId="10BD0C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DEC74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3095D0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674D14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46532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00547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2CD52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148</w:t>
            </w:r>
          </w:p>
        </w:tc>
        <w:tc>
          <w:tcPr>
            <w:tcW w:w="490" w:type="pct"/>
            <w:shd w:val="clear" w:color="auto" w:fill="auto"/>
            <w:vAlign w:val="center"/>
          </w:tcPr>
          <w:p w14:paraId="5601E9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金台区金河工业园区供水改造工程</w:t>
            </w:r>
          </w:p>
        </w:tc>
        <w:tc>
          <w:tcPr>
            <w:tcW w:w="2040" w:type="pct"/>
            <w:shd w:val="clear" w:color="auto" w:fill="auto"/>
            <w:vAlign w:val="center"/>
          </w:tcPr>
          <w:p w14:paraId="245D88C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新建管道3000米，新建给水检查井10座,无负压加压供水设备，泵房1座；新增日供水能力1万吨；延伸管网10公里及其相关配套设施建设</w:t>
            </w:r>
          </w:p>
        </w:tc>
        <w:tc>
          <w:tcPr>
            <w:tcW w:w="460" w:type="pct"/>
            <w:shd w:val="clear" w:color="auto" w:fill="auto"/>
            <w:vAlign w:val="center"/>
          </w:tcPr>
          <w:p w14:paraId="557FDF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20354F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2021-2021</w:t>
            </w:r>
          </w:p>
        </w:tc>
        <w:tc>
          <w:tcPr>
            <w:tcW w:w="321" w:type="pct"/>
            <w:shd w:val="clear" w:color="auto" w:fill="auto"/>
            <w:vAlign w:val="center"/>
          </w:tcPr>
          <w:p w14:paraId="3A8666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2E536B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44888A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E2671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584D9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8" w:hRule="atLeast"/>
        </w:trPr>
        <w:tc>
          <w:tcPr>
            <w:tcW w:w="225" w:type="pct"/>
            <w:shd w:val="clear" w:color="auto" w:fill="auto"/>
            <w:vAlign w:val="center"/>
          </w:tcPr>
          <w:p w14:paraId="7C0AC2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149</w:t>
            </w:r>
          </w:p>
        </w:tc>
        <w:tc>
          <w:tcPr>
            <w:tcW w:w="490" w:type="pct"/>
            <w:shd w:val="clear" w:color="auto" w:fill="auto"/>
            <w:vAlign w:val="center"/>
          </w:tcPr>
          <w:p w14:paraId="556507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金台区蟠龙镇城乡供水一体化项目</w:t>
            </w:r>
          </w:p>
        </w:tc>
        <w:tc>
          <w:tcPr>
            <w:tcW w:w="2040" w:type="pct"/>
            <w:shd w:val="clear" w:color="auto" w:fill="auto"/>
            <w:vAlign w:val="center"/>
          </w:tcPr>
          <w:p w14:paraId="14A8DB9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连接蟠龙新区水厂，设计供水规模4100立方米/日，铺设DN63-DN110的PE供水管63610米，配套建设阀门井、排气井及排泥井；覆盖蟠龙镇18个行政村，人口4.3万人</w:t>
            </w:r>
          </w:p>
        </w:tc>
        <w:tc>
          <w:tcPr>
            <w:tcW w:w="460" w:type="pct"/>
            <w:shd w:val="clear" w:color="auto" w:fill="auto"/>
            <w:vAlign w:val="center"/>
          </w:tcPr>
          <w:p w14:paraId="5EC61E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蟠龙塬</w:t>
            </w:r>
          </w:p>
        </w:tc>
        <w:tc>
          <w:tcPr>
            <w:tcW w:w="374" w:type="pct"/>
            <w:shd w:val="clear" w:color="auto" w:fill="auto"/>
            <w:vAlign w:val="center"/>
          </w:tcPr>
          <w:p w14:paraId="114B7C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78AA1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77" w:type="pct"/>
            <w:shd w:val="clear" w:color="auto" w:fill="auto"/>
            <w:vAlign w:val="center"/>
          </w:tcPr>
          <w:p w14:paraId="055596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468819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7F054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212C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77" w:hRule="atLeast"/>
        </w:trPr>
        <w:tc>
          <w:tcPr>
            <w:tcW w:w="225" w:type="pct"/>
            <w:shd w:val="clear" w:color="auto" w:fill="auto"/>
            <w:vAlign w:val="center"/>
          </w:tcPr>
          <w:p w14:paraId="5A1EC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150</w:t>
            </w:r>
          </w:p>
        </w:tc>
        <w:tc>
          <w:tcPr>
            <w:tcW w:w="490" w:type="pct"/>
            <w:shd w:val="clear" w:color="auto" w:fill="auto"/>
            <w:vAlign w:val="center"/>
          </w:tcPr>
          <w:p w14:paraId="1D41DF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蟠龙新区供水管网工程</w:t>
            </w:r>
          </w:p>
        </w:tc>
        <w:tc>
          <w:tcPr>
            <w:tcW w:w="2040" w:type="pct"/>
            <w:shd w:val="clear" w:color="auto" w:fill="auto"/>
            <w:vAlign w:val="center"/>
          </w:tcPr>
          <w:p w14:paraId="2E5602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连接蟠龙新区水厂，建设DN100-DN600供水管网36.8公里，新增供水量3万吨/日</w:t>
            </w:r>
          </w:p>
        </w:tc>
        <w:tc>
          <w:tcPr>
            <w:tcW w:w="460" w:type="pct"/>
            <w:shd w:val="clear" w:color="auto" w:fill="auto"/>
            <w:vAlign w:val="center"/>
          </w:tcPr>
          <w:p w14:paraId="096067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8395C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8706B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6E886B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69C03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502C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2F4C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C037E9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（五）</w:t>
            </w:r>
          </w:p>
        </w:tc>
        <w:tc>
          <w:tcPr>
            <w:tcW w:w="490" w:type="pct"/>
            <w:shd w:val="clear" w:color="auto" w:fill="auto"/>
            <w:vAlign w:val="center"/>
          </w:tcPr>
          <w:p w14:paraId="330297C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能源基础设施（9）</w:t>
            </w:r>
          </w:p>
        </w:tc>
        <w:tc>
          <w:tcPr>
            <w:tcW w:w="2040" w:type="pct"/>
            <w:shd w:val="clear" w:color="auto" w:fill="auto"/>
            <w:vAlign w:val="center"/>
          </w:tcPr>
          <w:p w14:paraId="7F89812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2B758A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55E88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9C9A3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77" w:type="pct"/>
            <w:shd w:val="clear" w:color="auto" w:fill="auto"/>
            <w:vAlign w:val="center"/>
          </w:tcPr>
          <w:p w14:paraId="57A734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20.98</w:t>
            </w:r>
          </w:p>
        </w:tc>
        <w:tc>
          <w:tcPr>
            <w:tcW w:w="319" w:type="pct"/>
            <w:shd w:val="clear" w:color="auto" w:fill="auto"/>
            <w:vAlign w:val="center"/>
          </w:tcPr>
          <w:p w14:paraId="72875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A2037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3551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6509E04">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151</w:t>
            </w:r>
          </w:p>
        </w:tc>
        <w:tc>
          <w:tcPr>
            <w:tcW w:w="490" w:type="pct"/>
            <w:shd w:val="clear" w:color="auto" w:fill="auto"/>
            <w:vAlign w:val="center"/>
          </w:tcPr>
          <w:p w14:paraId="6176C35F">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spacing w:val="-6"/>
                <w:kern w:val="0"/>
                <w:sz w:val="20"/>
                <w:szCs w:val="20"/>
                <w14:textFill>
                  <w14:solidFill>
                    <w14:schemeClr w14:val="tx1"/>
                  </w14:solidFill>
                </w14:textFill>
              </w:rPr>
              <w:t>金台区新能源汽车充电桩项目</w:t>
            </w:r>
          </w:p>
        </w:tc>
        <w:tc>
          <w:tcPr>
            <w:tcW w:w="2040" w:type="pct"/>
            <w:shd w:val="clear" w:color="auto" w:fill="auto"/>
            <w:vAlign w:val="center"/>
          </w:tcPr>
          <w:p w14:paraId="21F19ADA">
            <w:pPr>
              <w:adjustRightInd w:val="0"/>
              <w:snapToGrid w:val="0"/>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 在全市范围内建设新能源充电站、充电桩及新能源充电终端，为新能源产业建设发展奠定基础，建设充电网络云平台</w:t>
            </w:r>
          </w:p>
        </w:tc>
        <w:tc>
          <w:tcPr>
            <w:tcW w:w="460" w:type="pct"/>
            <w:shd w:val="clear" w:color="auto" w:fill="auto"/>
            <w:vAlign w:val="center"/>
          </w:tcPr>
          <w:p w14:paraId="76E7BEEA">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金台区</w:t>
            </w:r>
          </w:p>
        </w:tc>
        <w:tc>
          <w:tcPr>
            <w:tcW w:w="374" w:type="pct"/>
            <w:shd w:val="clear" w:color="auto" w:fill="auto"/>
            <w:vAlign w:val="center"/>
          </w:tcPr>
          <w:p w14:paraId="06491041">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2021-2025</w:t>
            </w:r>
          </w:p>
        </w:tc>
        <w:tc>
          <w:tcPr>
            <w:tcW w:w="321" w:type="pct"/>
            <w:shd w:val="clear" w:color="auto" w:fill="auto"/>
            <w:vAlign w:val="center"/>
          </w:tcPr>
          <w:p w14:paraId="01DBCCCE">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77" w:type="pct"/>
            <w:shd w:val="clear" w:color="auto" w:fill="auto"/>
            <w:vAlign w:val="center"/>
          </w:tcPr>
          <w:p w14:paraId="2B523A8C">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6</w:t>
            </w:r>
          </w:p>
        </w:tc>
        <w:tc>
          <w:tcPr>
            <w:tcW w:w="319" w:type="pct"/>
            <w:shd w:val="clear" w:color="auto" w:fill="auto"/>
            <w:vAlign w:val="center"/>
          </w:tcPr>
          <w:p w14:paraId="77257FF5">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企业自筹</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中省补助</w:t>
            </w:r>
          </w:p>
        </w:tc>
        <w:tc>
          <w:tcPr>
            <w:tcW w:w="392" w:type="pct"/>
            <w:shd w:val="clear" w:color="auto" w:fill="auto"/>
            <w:vAlign w:val="center"/>
          </w:tcPr>
          <w:p w14:paraId="59E41387">
            <w:pPr>
              <w:adjustRightInd w:val="0"/>
              <w:snapToGrid w:val="0"/>
              <w:jc w:val="center"/>
              <w:rPr>
                <w:rFonts w:ascii="仿宋_GB2312" w:hAnsi="宋体" w:eastAsia="仿宋_GB2312" w:cs="宋体"/>
                <w:color w:val="000000" w:themeColor="text1"/>
                <w:kern w:val="0"/>
                <w:sz w:val="20"/>
                <w:szCs w:val="20"/>
                <w14:textFill>
                  <w14:solidFill>
                    <w14:schemeClr w14:val="tx1"/>
                  </w14:solidFill>
                </w14:textFill>
              </w:rPr>
            </w:pPr>
            <w:r>
              <w:rPr>
                <w:rFonts w:hint="eastAsia" w:ascii="仿宋_GB2312" w:hAnsi="宋体" w:eastAsia="仿宋_GB2312" w:cs="宋体"/>
                <w:color w:val="000000" w:themeColor="text1"/>
                <w:kern w:val="0"/>
                <w:sz w:val="20"/>
                <w:szCs w:val="20"/>
                <w14:textFill>
                  <w14:solidFill>
                    <w14:schemeClr w14:val="tx1"/>
                  </w14:solidFill>
                </w14:textFill>
              </w:rPr>
              <w:t xml:space="preserve">区数字化信息服务中心   </w:t>
            </w:r>
            <w:r>
              <w:rPr>
                <w:rFonts w:hint="eastAsia" w:ascii="仿宋_GB2312" w:hAnsi="宋体" w:eastAsia="仿宋_GB2312" w:cs="宋体"/>
                <w:color w:val="000000" w:themeColor="text1"/>
                <w:kern w:val="0"/>
                <w:sz w:val="20"/>
                <w:szCs w:val="20"/>
                <w14:textFill>
                  <w14:solidFill>
                    <w14:schemeClr w14:val="tx1"/>
                  </w14:solidFill>
                </w14:textFill>
              </w:rPr>
              <w:br w:type="textWrapping"/>
            </w:r>
            <w:r>
              <w:rPr>
                <w:rFonts w:hint="eastAsia" w:ascii="仿宋_GB2312" w:hAnsi="宋体" w:eastAsia="仿宋_GB2312" w:cs="宋体"/>
                <w:color w:val="000000" w:themeColor="text1"/>
                <w:kern w:val="0"/>
                <w:sz w:val="20"/>
                <w:szCs w:val="20"/>
                <w14:textFill>
                  <w14:solidFill>
                    <w14:schemeClr w14:val="tx1"/>
                  </w14:solidFill>
                </w14:textFill>
              </w:rPr>
              <w:t xml:space="preserve"> 区工信局</w:t>
            </w:r>
          </w:p>
        </w:tc>
      </w:tr>
      <w:tr w14:paraId="35F39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0041E1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152</w:t>
            </w:r>
          </w:p>
        </w:tc>
        <w:tc>
          <w:tcPr>
            <w:tcW w:w="490" w:type="pct"/>
            <w:shd w:val="clear" w:color="auto" w:fill="auto"/>
            <w:vAlign w:val="center"/>
          </w:tcPr>
          <w:p w14:paraId="07EA9B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金台区农村电网改造升级建设项目</w:t>
            </w:r>
          </w:p>
        </w:tc>
        <w:tc>
          <w:tcPr>
            <w:tcW w:w="2040" w:type="pct"/>
            <w:shd w:val="clear" w:color="auto" w:fill="auto"/>
            <w:vAlign w:val="center"/>
          </w:tcPr>
          <w:p w14:paraId="677A329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对辖区内农村电杆、线路、变压器进行更换，更换变压器，更换电网8公里，安装电缆8公里，更换照明路灯300盏</w:t>
            </w:r>
          </w:p>
        </w:tc>
        <w:tc>
          <w:tcPr>
            <w:tcW w:w="460" w:type="pct"/>
            <w:shd w:val="clear" w:color="auto" w:fill="auto"/>
            <w:vAlign w:val="center"/>
          </w:tcPr>
          <w:p w14:paraId="4F4D33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33A38F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239A2C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5D5BA8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5AD5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77" w:type="pct"/>
            <w:shd w:val="clear" w:color="auto" w:fill="auto"/>
            <w:vAlign w:val="center"/>
          </w:tcPr>
          <w:p w14:paraId="738210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0.68</w:t>
            </w:r>
          </w:p>
        </w:tc>
        <w:tc>
          <w:tcPr>
            <w:tcW w:w="319" w:type="pct"/>
            <w:shd w:val="clear" w:color="auto" w:fill="auto"/>
            <w:vAlign w:val="center"/>
          </w:tcPr>
          <w:p w14:paraId="797A1E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5F2C1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094BA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6" w:hRule="atLeast"/>
        </w:trPr>
        <w:tc>
          <w:tcPr>
            <w:tcW w:w="225" w:type="pct"/>
            <w:shd w:val="clear" w:color="auto" w:fill="auto"/>
            <w:vAlign w:val="center"/>
          </w:tcPr>
          <w:p w14:paraId="20B904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153</w:t>
            </w:r>
          </w:p>
        </w:tc>
        <w:tc>
          <w:tcPr>
            <w:tcW w:w="490" w:type="pct"/>
            <w:shd w:val="clear" w:color="auto" w:fill="auto"/>
            <w:vAlign w:val="center"/>
          </w:tcPr>
          <w:p w14:paraId="7C2AC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金台区城区电网改造升级工程</w:t>
            </w:r>
          </w:p>
        </w:tc>
        <w:tc>
          <w:tcPr>
            <w:tcW w:w="2040" w:type="pct"/>
            <w:shd w:val="clear" w:color="auto" w:fill="auto"/>
            <w:vAlign w:val="center"/>
          </w:tcPr>
          <w:p w14:paraId="0DB681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安装SVC静止型无功补偿器1万个，更换电力电缆5000米，路灯提升改进1万个，修建变压器房100个，购买变压器150个，修建宣传标语2000平方米</w:t>
            </w:r>
          </w:p>
        </w:tc>
        <w:tc>
          <w:tcPr>
            <w:tcW w:w="460" w:type="pct"/>
            <w:shd w:val="clear" w:color="auto" w:fill="auto"/>
            <w:vAlign w:val="center"/>
          </w:tcPr>
          <w:p w14:paraId="5E21F2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0A9DE6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1C52EC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5F633E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307AA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3E4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46F0C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7629F7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154</w:t>
            </w:r>
          </w:p>
        </w:tc>
        <w:tc>
          <w:tcPr>
            <w:tcW w:w="490" w:type="pct"/>
            <w:shd w:val="clear" w:color="auto" w:fill="auto"/>
            <w:vAlign w:val="center"/>
          </w:tcPr>
          <w:p w14:paraId="7E54E2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宝鸡金台10kv及以上线路提升工程</w:t>
            </w:r>
          </w:p>
        </w:tc>
        <w:tc>
          <w:tcPr>
            <w:tcW w:w="2040" w:type="pct"/>
            <w:shd w:val="clear" w:color="auto" w:fill="auto"/>
            <w:vAlign w:val="center"/>
          </w:tcPr>
          <w:p w14:paraId="5C4063D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建设变电容量1.36万KVA,线路长度84.86公里</w:t>
            </w:r>
          </w:p>
        </w:tc>
        <w:tc>
          <w:tcPr>
            <w:tcW w:w="460" w:type="pct"/>
            <w:shd w:val="clear" w:color="auto" w:fill="auto"/>
            <w:vAlign w:val="center"/>
          </w:tcPr>
          <w:p w14:paraId="34611F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5626D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EE7BA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31490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D859F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A1D01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市区供电局</w:t>
            </w:r>
          </w:p>
        </w:tc>
      </w:tr>
      <w:tr w14:paraId="3C46E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4" w:hRule="atLeast"/>
        </w:trPr>
        <w:tc>
          <w:tcPr>
            <w:tcW w:w="225" w:type="pct"/>
            <w:shd w:val="clear" w:color="auto" w:fill="auto"/>
            <w:vAlign w:val="center"/>
          </w:tcPr>
          <w:p w14:paraId="6EB814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155</w:t>
            </w:r>
          </w:p>
        </w:tc>
        <w:tc>
          <w:tcPr>
            <w:tcW w:w="490" w:type="pct"/>
            <w:shd w:val="clear" w:color="auto" w:fill="auto"/>
            <w:vAlign w:val="center"/>
          </w:tcPr>
          <w:p w14:paraId="1D3B0A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金台区硖石镇地源热供暖建设项目</w:t>
            </w:r>
          </w:p>
        </w:tc>
        <w:tc>
          <w:tcPr>
            <w:tcW w:w="2040" w:type="pct"/>
            <w:shd w:val="clear" w:color="auto" w:fill="auto"/>
            <w:vAlign w:val="center"/>
          </w:tcPr>
          <w:p w14:paraId="7804419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在硖石镇政府、部分学校、卫生所、居民住宅区建设地源热供暖系统，供暖面积35万平方米</w:t>
            </w:r>
          </w:p>
        </w:tc>
        <w:tc>
          <w:tcPr>
            <w:tcW w:w="460" w:type="pct"/>
            <w:shd w:val="clear" w:color="auto" w:fill="auto"/>
            <w:vAlign w:val="center"/>
          </w:tcPr>
          <w:p w14:paraId="29AFB7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34CCA1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70A14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72A3D5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0C1B41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F112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1EEF1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F55FD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156</w:t>
            </w:r>
          </w:p>
        </w:tc>
        <w:tc>
          <w:tcPr>
            <w:tcW w:w="490" w:type="pct"/>
            <w:shd w:val="clear" w:color="auto" w:fill="auto"/>
            <w:vAlign w:val="center"/>
          </w:tcPr>
          <w:p w14:paraId="508E22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金台区金河镇地热供暖建设项目</w:t>
            </w:r>
          </w:p>
        </w:tc>
        <w:tc>
          <w:tcPr>
            <w:tcW w:w="2040" w:type="pct"/>
            <w:shd w:val="clear" w:color="auto" w:fill="auto"/>
            <w:vAlign w:val="center"/>
          </w:tcPr>
          <w:p w14:paraId="678EBC7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在金河镇部分学校、卫生所、居民住宅区建设地源热供暖系统，供暖面积40万平方米</w:t>
            </w:r>
          </w:p>
        </w:tc>
        <w:tc>
          <w:tcPr>
            <w:tcW w:w="460" w:type="pct"/>
            <w:shd w:val="clear" w:color="auto" w:fill="auto"/>
            <w:vAlign w:val="center"/>
          </w:tcPr>
          <w:p w14:paraId="7F47B1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9F6ED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C3291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381A21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34222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9400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31F8E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262C4A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157</w:t>
            </w:r>
          </w:p>
        </w:tc>
        <w:tc>
          <w:tcPr>
            <w:tcW w:w="490" w:type="pct"/>
            <w:shd w:val="clear" w:color="auto" w:fill="auto"/>
            <w:vAlign w:val="center"/>
          </w:tcPr>
          <w:p w14:paraId="25F568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金台区蟠龙镇镇地热供暖建设项目</w:t>
            </w:r>
          </w:p>
        </w:tc>
        <w:tc>
          <w:tcPr>
            <w:tcW w:w="2040" w:type="pct"/>
            <w:shd w:val="clear" w:color="auto" w:fill="auto"/>
            <w:vAlign w:val="center"/>
          </w:tcPr>
          <w:p w14:paraId="2A1861D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在蟠龙镇政府、学校、卫生所、居民住宅区建设地源热供暖系统，供暖面积50万平方米</w:t>
            </w:r>
          </w:p>
        </w:tc>
        <w:tc>
          <w:tcPr>
            <w:tcW w:w="460" w:type="pct"/>
            <w:shd w:val="clear" w:color="auto" w:fill="auto"/>
            <w:vAlign w:val="center"/>
          </w:tcPr>
          <w:p w14:paraId="2400BE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38E67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823FC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3B8C9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E3661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9CC5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1475C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2A661D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490" w:type="pct"/>
            <w:shd w:val="clear" w:color="auto" w:fill="auto"/>
            <w:vAlign w:val="center"/>
          </w:tcPr>
          <w:p w14:paraId="3A217F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蟠龙新区充（换）电站建设项目</w:t>
            </w:r>
          </w:p>
        </w:tc>
        <w:tc>
          <w:tcPr>
            <w:tcW w:w="2040" w:type="pct"/>
            <w:shd w:val="clear" w:color="auto" w:fill="auto"/>
            <w:vAlign w:val="center"/>
          </w:tcPr>
          <w:p w14:paraId="1BD5EF8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建设新能源汽车、公交车充（换）电站5座，建设内容</w:t>
            </w:r>
            <w:r>
              <w:rPr>
                <w:rFonts w:hint="eastAsia" w:ascii="仿宋_GB2312" w:hAnsi="宋体" w:eastAsia="仿宋_GB2312" w:cs="宋体"/>
                <w:kern w:val="0"/>
                <w:sz w:val="20"/>
                <w:szCs w:val="20"/>
                <w:lang w:eastAsia="zh-CN"/>
              </w:rPr>
              <w:t>包含</w:t>
            </w:r>
            <w:r>
              <w:rPr>
                <w:rFonts w:hint="eastAsia" w:ascii="仿宋_GB2312" w:hAnsi="宋体" w:eastAsia="仿宋_GB2312" w:cs="宋体"/>
                <w:kern w:val="0"/>
                <w:sz w:val="20"/>
                <w:szCs w:val="20"/>
              </w:rPr>
              <w:t>充电桩、管理用房、公交调度室、停车场及相关配套设施等</w:t>
            </w:r>
          </w:p>
        </w:tc>
        <w:tc>
          <w:tcPr>
            <w:tcW w:w="460" w:type="pct"/>
            <w:shd w:val="clear" w:color="auto" w:fill="auto"/>
            <w:vAlign w:val="center"/>
          </w:tcPr>
          <w:p w14:paraId="136FAB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036F2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BF317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36A1E3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309A66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EA841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B43C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3DE776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159</w:t>
            </w:r>
          </w:p>
        </w:tc>
        <w:tc>
          <w:tcPr>
            <w:tcW w:w="490" w:type="pct"/>
            <w:shd w:val="clear" w:color="auto" w:fill="auto"/>
            <w:vAlign w:val="center"/>
          </w:tcPr>
          <w:p w14:paraId="15F311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蟠龙新区供气工程</w:t>
            </w:r>
          </w:p>
        </w:tc>
        <w:tc>
          <w:tcPr>
            <w:tcW w:w="2040" w:type="pct"/>
            <w:shd w:val="clear" w:color="auto" w:fill="auto"/>
            <w:vAlign w:val="center"/>
          </w:tcPr>
          <w:p w14:paraId="2F71A00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敷设天然气管网43公里，管径为DN150-DN200的PE管，设置燃气阀门井200座</w:t>
            </w:r>
          </w:p>
        </w:tc>
        <w:tc>
          <w:tcPr>
            <w:tcW w:w="460" w:type="pct"/>
            <w:shd w:val="clear" w:color="auto" w:fill="auto"/>
            <w:vAlign w:val="center"/>
          </w:tcPr>
          <w:p w14:paraId="370D6C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6D6A9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076EB0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2E8A21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1856C6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0549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42F7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B3772AF">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（六）</w:t>
            </w:r>
          </w:p>
        </w:tc>
        <w:tc>
          <w:tcPr>
            <w:tcW w:w="490" w:type="pct"/>
            <w:shd w:val="clear" w:color="auto" w:fill="auto"/>
            <w:vAlign w:val="center"/>
          </w:tcPr>
          <w:p w14:paraId="3BAC6C3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其他（11）</w:t>
            </w:r>
          </w:p>
        </w:tc>
        <w:tc>
          <w:tcPr>
            <w:tcW w:w="2040" w:type="pct"/>
            <w:shd w:val="clear" w:color="auto" w:fill="auto"/>
            <w:vAlign w:val="center"/>
          </w:tcPr>
          <w:p w14:paraId="6084472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775FE0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338E6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44086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112.85</w:t>
            </w:r>
          </w:p>
        </w:tc>
        <w:tc>
          <w:tcPr>
            <w:tcW w:w="377" w:type="pct"/>
            <w:shd w:val="clear" w:color="auto" w:fill="auto"/>
            <w:vAlign w:val="center"/>
          </w:tcPr>
          <w:p w14:paraId="06FD90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62.85</w:t>
            </w:r>
          </w:p>
        </w:tc>
        <w:tc>
          <w:tcPr>
            <w:tcW w:w="319" w:type="pct"/>
            <w:shd w:val="clear" w:color="auto" w:fill="auto"/>
            <w:vAlign w:val="center"/>
          </w:tcPr>
          <w:p w14:paraId="31518F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B8B37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387F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0" w:hRule="atLeast"/>
        </w:trPr>
        <w:tc>
          <w:tcPr>
            <w:tcW w:w="225" w:type="pct"/>
            <w:shd w:val="clear" w:color="auto" w:fill="auto"/>
            <w:vAlign w:val="center"/>
          </w:tcPr>
          <w:p w14:paraId="31D70B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160</w:t>
            </w:r>
          </w:p>
        </w:tc>
        <w:tc>
          <w:tcPr>
            <w:tcW w:w="490" w:type="pct"/>
            <w:shd w:val="clear" w:color="auto" w:fill="auto"/>
            <w:vAlign w:val="center"/>
          </w:tcPr>
          <w:p w14:paraId="7C6E0B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金台区停车场建设项目</w:t>
            </w:r>
          </w:p>
        </w:tc>
        <w:tc>
          <w:tcPr>
            <w:tcW w:w="2040" w:type="pct"/>
            <w:shd w:val="clear" w:color="auto" w:fill="auto"/>
            <w:vAlign w:val="center"/>
          </w:tcPr>
          <w:p w14:paraId="67E2DF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新建西府天地、金河工业园、大庆路等停车场，配套设施建设</w:t>
            </w:r>
          </w:p>
        </w:tc>
        <w:tc>
          <w:tcPr>
            <w:tcW w:w="460" w:type="pct"/>
            <w:shd w:val="clear" w:color="auto" w:fill="auto"/>
            <w:vAlign w:val="center"/>
          </w:tcPr>
          <w:p w14:paraId="37116B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EFBEB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F08F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5B7DFE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742B12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8FD54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西府天地管委办</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spacing w:val="-28"/>
                <w:kern w:val="0"/>
                <w:sz w:val="20"/>
                <w:szCs w:val="20"/>
              </w:rPr>
              <w:t>西关街道办事处</w:t>
            </w:r>
          </w:p>
        </w:tc>
      </w:tr>
      <w:tr w14:paraId="3E543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225" w:type="pct"/>
            <w:shd w:val="clear" w:color="auto" w:fill="auto"/>
            <w:vAlign w:val="center"/>
          </w:tcPr>
          <w:p w14:paraId="7C13FE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161</w:t>
            </w:r>
          </w:p>
        </w:tc>
        <w:tc>
          <w:tcPr>
            <w:tcW w:w="490" w:type="pct"/>
            <w:shd w:val="clear" w:color="auto" w:fill="auto"/>
            <w:vAlign w:val="center"/>
          </w:tcPr>
          <w:p w14:paraId="7FAFEE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金河工业园区基础设施改造项目</w:t>
            </w:r>
          </w:p>
        </w:tc>
        <w:tc>
          <w:tcPr>
            <w:tcW w:w="2040" w:type="pct"/>
            <w:shd w:val="clear" w:color="auto" w:fill="auto"/>
            <w:vAlign w:val="center"/>
          </w:tcPr>
          <w:p w14:paraId="4A779D3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迁移高压电杆，配套建设园区水、电、路、气、绿化、亮化等设施</w:t>
            </w:r>
          </w:p>
        </w:tc>
        <w:tc>
          <w:tcPr>
            <w:tcW w:w="460" w:type="pct"/>
            <w:shd w:val="clear" w:color="auto" w:fill="auto"/>
            <w:vAlign w:val="center"/>
          </w:tcPr>
          <w:p w14:paraId="09EABA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5C9F4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E757B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1D711F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A3CD3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93650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3D709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3911B0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162</w:t>
            </w:r>
          </w:p>
        </w:tc>
        <w:tc>
          <w:tcPr>
            <w:tcW w:w="490" w:type="pct"/>
            <w:shd w:val="clear" w:color="auto" w:fill="auto"/>
            <w:vAlign w:val="center"/>
          </w:tcPr>
          <w:p w14:paraId="71A211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陇海铁路—引渭渠沿线城市更新</w:t>
            </w:r>
          </w:p>
        </w:tc>
        <w:tc>
          <w:tcPr>
            <w:tcW w:w="2040" w:type="pct"/>
            <w:shd w:val="clear" w:color="auto" w:fill="auto"/>
            <w:vAlign w:val="center"/>
          </w:tcPr>
          <w:p w14:paraId="4C34685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东西长约15公里、南北宽约0.5公里，城市功能完善，交通路网梳理，城市环境提升</w:t>
            </w:r>
          </w:p>
        </w:tc>
        <w:tc>
          <w:tcPr>
            <w:tcW w:w="460" w:type="pct"/>
            <w:shd w:val="clear" w:color="auto" w:fill="auto"/>
            <w:vAlign w:val="center"/>
          </w:tcPr>
          <w:p w14:paraId="6B487D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CC262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E1966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3FCC96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F3572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ADA4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68A9A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71B477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163</w:t>
            </w:r>
          </w:p>
        </w:tc>
        <w:tc>
          <w:tcPr>
            <w:tcW w:w="490" w:type="pct"/>
            <w:shd w:val="clear" w:color="auto" w:fill="auto"/>
            <w:vAlign w:val="center"/>
          </w:tcPr>
          <w:p w14:paraId="1940BD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蟠龙新区市政基础设施建设项目</w:t>
            </w:r>
          </w:p>
        </w:tc>
        <w:tc>
          <w:tcPr>
            <w:tcW w:w="2040" w:type="pct"/>
            <w:shd w:val="clear" w:color="auto" w:fill="auto"/>
            <w:vAlign w:val="center"/>
          </w:tcPr>
          <w:p w14:paraId="49C5502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该项目为龙川路、西一路、大槐树路、西二路等35条市政道路工程，全长125.7公里，主要建设内容包括：道路及各类管网工程、综合管廊工程、道路绿化等附属设施工程</w:t>
            </w:r>
          </w:p>
        </w:tc>
        <w:tc>
          <w:tcPr>
            <w:tcW w:w="460" w:type="pct"/>
            <w:shd w:val="clear" w:color="auto" w:fill="auto"/>
            <w:vAlign w:val="center"/>
          </w:tcPr>
          <w:p w14:paraId="19146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782B1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2020-2030</w:t>
            </w:r>
          </w:p>
        </w:tc>
        <w:tc>
          <w:tcPr>
            <w:tcW w:w="321" w:type="pct"/>
            <w:shd w:val="clear" w:color="auto" w:fill="auto"/>
            <w:vAlign w:val="center"/>
          </w:tcPr>
          <w:p w14:paraId="15571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85</w:t>
            </w:r>
          </w:p>
        </w:tc>
        <w:tc>
          <w:tcPr>
            <w:tcW w:w="377" w:type="pct"/>
            <w:shd w:val="clear" w:color="auto" w:fill="auto"/>
            <w:vAlign w:val="center"/>
          </w:tcPr>
          <w:p w14:paraId="7E584D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19" w:type="pct"/>
            <w:shd w:val="clear" w:color="auto" w:fill="auto"/>
            <w:vAlign w:val="center"/>
          </w:tcPr>
          <w:p w14:paraId="1066C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89E5F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ED51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AE159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164</w:t>
            </w:r>
          </w:p>
        </w:tc>
        <w:tc>
          <w:tcPr>
            <w:tcW w:w="490" w:type="pct"/>
            <w:shd w:val="clear" w:color="auto" w:fill="auto"/>
            <w:vAlign w:val="center"/>
          </w:tcPr>
          <w:p w14:paraId="38D508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蟠龙新区停车场项目</w:t>
            </w:r>
          </w:p>
        </w:tc>
        <w:tc>
          <w:tcPr>
            <w:tcW w:w="2040" w:type="pct"/>
            <w:shd w:val="clear" w:color="auto" w:fill="auto"/>
            <w:vAlign w:val="center"/>
          </w:tcPr>
          <w:p w14:paraId="254ECF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立体停车场分别位于西坪大道至龙腾路东北处、龙翔大道至龙腾路东南处、军事文化公园北侧、汽车后市场、龙川路中央商务区共计五处，占地面积5万平方米，主要建设六层停车楼，建筑面积11万平方米，共计设置车位3500个，配套建设给排水、消防等设施</w:t>
            </w:r>
          </w:p>
        </w:tc>
        <w:tc>
          <w:tcPr>
            <w:tcW w:w="460" w:type="pct"/>
            <w:shd w:val="clear" w:color="auto" w:fill="auto"/>
            <w:vAlign w:val="center"/>
          </w:tcPr>
          <w:p w14:paraId="301150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85181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7F016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77" w:type="pct"/>
            <w:shd w:val="clear" w:color="auto" w:fill="auto"/>
            <w:vAlign w:val="center"/>
          </w:tcPr>
          <w:p w14:paraId="356D77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319" w:type="pct"/>
            <w:shd w:val="clear" w:color="auto" w:fill="auto"/>
            <w:vAlign w:val="center"/>
          </w:tcPr>
          <w:p w14:paraId="1AE619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F607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DAEA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68EEB0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165</w:t>
            </w:r>
          </w:p>
        </w:tc>
        <w:tc>
          <w:tcPr>
            <w:tcW w:w="490" w:type="pct"/>
            <w:shd w:val="clear" w:color="auto" w:fill="auto"/>
            <w:vAlign w:val="center"/>
          </w:tcPr>
          <w:p w14:paraId="2812F9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蟠龙新区南门户区景观绿化项目</w:t>
            </w:r>
          </w:p>
        </w:tc>
        <w:tc>
          <w:tcPr>
            <w:tcW w:w="2040" w:type="pct"/>
            <w:shd w:val="clear" w:color="auto" w:fill="auto"/>
            <w:vAlign w:val="center"/>
          </w:tcPr>
          <w:p w14:paraId="53FE23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占地150亩，依托蟠龙快线塬上入口处，建设门户区景观节点绿地、入口广场、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、亮化等</w:t>
            </w:r>
          </w:p>
        </w:tc>
        <w:tc>
          <w:tcPr>
            <w:tcW w:w="460" w:type="pct"/>
            <w:shd w:val="clear" w:color="auto" w:fill="auto"/>
            <w:vAlign w:val="center"/>
          </w:tcPr>
          <w:p w14:paraId="1B1DFE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4140A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060FB6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9893A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7DC29C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5AE00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0409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75BFC9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166</w:t>
            </w:r>
          </w:p>
        </w:tc>
        <w:tc>
          <w:tcPr>
            <w:tcW w:w="490" w:type="pct"/>
            <w:shd w:val="clear" w:color="auto" w:fill="auto"/>
            <w:vAlign w:val="center"/>
          </w:tcPr>
          <w:p w14:paraId="2BD2E5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蟠龙新区城市慢行系统建设项目</w:t>
            </w:r>
          </w:p>
        </w:tc>
        <w:tc>
          <w:tcPr>
            <w:tcW w:w="2040" w:type="pct"/>
            <w:shd w:val="clear" w:color="auto" w:fill="auto"/>
            <w:vAlign w:val="center"/>
          </w:tcPr>
          <w:p w14:paraId="13633B8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总长28公里，主要建设健走步道、人行道、非机动车道、街头绿地广场等</w:t>
            </w:r>
          </w:p>
        </w:tc>
        <w:tc>
          <w:tcPr>
            <w:tcW w:w="460" w:type="pct"/>
            <w:shd w:val="clear" w:color="auto" w:fill="auto"/>
            <w:vAlign w:val="center"/>
          </w:tcPr>
          <w:p w14:paraId="689CC5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97E18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024F34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3DC6F7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161293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5971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0932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79" w:hRule="atLeast"/>
        </w:trPr>
        <w:tc>
          <w:tcPr>
            <w:tcW w:w="225" w:type="pct"/>
            <w:shd w:val="clear" w:color="auto" w:fill="auto"/>
            <w:vAlign w:val="center"/>
          </w:tcPr>
          <w:p w14:paraId="27FCF9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167</w:t>
            </w:r>
          </w:p>
        </w:tc>
        <w:tc>
          <w:tcPr>
            <w:tcW w:w="490" w:type="pct"/>
            <w:shd w:val="clear" w:color="auto" w:fill="auto"/>
            <w:vAlign w:val="center"/>
          </w:tcPr>
          <w:p w14:paraId="6A856C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建设项目</w:t>
            </w:r>
          </w:p>
        </w:tc>
        <w:tc>
          <w:tcPr>
            <w:tcW w:w="2040" w:type="pct"/>
            <w:shd w:val="clear" w:color="auto" w:fill="auto"/>
            <w:vAlign w:val="center"/>
          </w:tcPr>
          <w:p w14:paraId="2056D3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在新区门户区、城市节点、公园广场设立新区</w:t>
            </w:r>
            <w:r>
              <w:rPr>
                <w:rFonts w:hint="eastAsia" w:ascii="仿宋_GB2312" w:hAnsi="宋体" w:eastAsia="仿宋_GB2312" w:cs="宋体"/>
                <w:kern w:val="0"/>
                <w:sz w:val="20"/>
                <w:szCs w:val="20"/>
                <w:lang w:eastAsia="zh-CN"/>
              </w:rPr>
              <w:t>标志标识</w:t>
            </w:r>
            <w:r>
              <w:rPr>
                <w:rFonts w:hint="eastAsia" w:ascii="仿宋_GB2312" w:hAnsi="宋体" w:eastAsia="仿宋_GB2312" w:cs="宋体"/>
                <w:kern w:val="0"/>
                <w:sz w:val="20"/>
                <w:szCs w:val="20"/>
              </w:rPr>
              <w:t>、LED广告屏、城市景观等设施</w:t>
            </w:r>
          </w:p>
        </w:tc>
        <w:tc>
          <w:tcPr>
            <w:tcW w:w="460" w:type="pct"/>
            <w:shd w:val="clear" w:color="auto" w:fill="auto"/>
            <w:vAlign w:val="center"/>
          </w:tcPr>
          <w:p w14:paraId="79A959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F79DC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2023-2026</w:t>
            </w:r>
          </w:p>
        </w:tc>
        <w:tc>
          <w:tcPr>
            <w:tcW w:w="321" w:type="pct"/>
            <w:shd w:val="clear" w:color="auto" w:fill="auto"/>
            <w:vAlign w:val="center"/>
          </w:tcPr>
          <w:p w14:paraId="6B13F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AD65D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76868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A0B7A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2257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7DE0D9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168</w:t>
            </w:r>
          </w:p>
        </w:tc>
        <w:tc>
          <w:tcPr>
            <w:tcW w:w="490" w:type="pct"/>
            <w:shd w:val="clear" w:color="auto" w:fill="auto"/>
            <w:vAlign w:val="center"/>
          </w:tcPr>
          <w:p w14:paraId="0FBFF1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金台区城市公厕提升改造建设项目</w:t>
            </w:r>
          </w:p>
        </w:tc>
        <w:tc>
          <w:tcPr>
            <w:tcW w:w="2040" w:type="pct"/>
            <w:shd w:val="clear" w:color="auto" w:fill="auto"/>
            <w:vAlign w:val="center"/>
          </w:tcPr>
          <w:p w14:paraId="5EB749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新建或改造公厕，配套建设化粪池、管护间、环卫工人休息室、垃圾收集点等相关辅助设施</w:t>
            </w:r>
          </w:p>
        </w:tc>
        <w:tc>
          <w:tcPr>
            <w:tcW w:w="460" w:type="pct"/>
            <w:shd w:val="clear" w:color="auto" w:fill="auto"/>
            <w:vAlign w:val="center"/>
          </w:tcPr>
          <w:p w14:paraId="10B2EA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金台区主城区</w:t>
            </w:r>
          </w:p>
        </w:tc>
        <w:tc>
          <w:tcPr>
            <w:tcW w:w="374" w:type="pct"/>
            <w:shd w:val="clear" w:color="auto" w:fill="auto"/>
            <w:vAlign w:val="center"/>
          </w:tcPr>
          <w:p w14:paraId="141876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8B9F7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2812E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03D90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27FC6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spacing w:val="-17"/>
                <w:kern w:val="0"/>
                <w:sz w:val="20"/>
                <w:szCs w:val="20"/>
              </w:rPr>
              <w:t>区城管执法局</w:t>
            </w:r>
          </w:p>
        </w:tc>
      </w:tr>
      <w:tr w14:paraId="77410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3" w:hRule="atLeast"/>
        </w:trPr>
        <w:tc>
          <w:tcPr>
            <w:tcW w:w="225" w:type="pct"/>
            <w:shd w:val="clear" w:color="auto" w:fill="auto"/>
            <w:vAlign w:val="center"/>
          </w:tcPr>
          <w:p w14:paraId="7E751E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169</w:t>
            </w:r>
          </w:p>
        </w:tc>
        <w:tc>
          <w:tcPr>
            <w:tcW w:w="490" w:type="pct"/>
            <w:shd w:val="clear" w:color="auto" w:fill="auto"/>
            <w:vAlign w:val="center"/>
          </w:tcPr>
          <w:p w14:paraId="1F07F9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金台区应急物资储备库项目</w:t>
            </w:r>
          </w:p>
        </w:tc>
        <w:tc>
          <w:tcPr>
            <w:tcW w:w="2040" w:type="pct"/>
            <w:shd w:val="clear" w:color="auto" w:fill="auto"/>
            <w:vAlign w:val="center"/>
          </w:tcPr>
          <w:p w14:paraId="35384F5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占地面积18亩,总建筑面积1.57万平方米,建设1个主库，3个分库，新建框架结构的应急物资储备库房3万平方米、库区管理用房700平方米，配套建设给排水、电力、暖通、消防、场地绿化、硬化等设施。用于医用药品、救灾物资、医用口罩、疫苗、医疗试剂、防护服、医疗器械的储备</w:t>
            </w:r>
          </w:p>
        </w:tc>
        <w:tc>
          <w:tcPr>
            <w:tcW w:w="460" w:type="pct"/>
            <w:shd w:val="clear" w:color="auto" w:fill="auto"/>
            <w:vAlign w:val="center"/>
          </w:tcPr>
          <w:p w14:paraId="6AF968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十里铺  </w:t>
            </w:r>
          </w:p>
          <w:p w14:paraId="5D6AF4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1D8043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51368D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B6420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E327E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77" w:type="pct"/>
            <w:shd w:val="clear" w:color="auto" w:fill="auto"/>
            <w:vAlign w:val="center"/>
          </w:tcPr>
          <w:p w14:paraId="179E62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1.50 </w:t>
            </w:r>
          </w:p>
        </w:tc>
        <w:tc>
          <w:tcPr>
            <w:tcW w:w="319" w:type="pct"/>
            <w:shd w:val="clear" w:color="auto" w:fill="auto"/>
            <w:vAlign w:val="center"/>
          </w:tcPr>
          <w:p w14:paraId="5AEAFA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F4C42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区应急局</w:t>
            </w:r>
          </w:p>
        </w:tc>
      </w:tr>
      <w:tr w14:paraId="48266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B8C46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170</w:t>
            </w:r>
          </w:p>
        </w:tc>
        <w:tc>
          <w:tcPr>
            <w:tcW w:w="490" w:type="pct"/>
            <w:shd w:val="clear" w:color="auto" w:fill="auto"/>
            <w:vAlign w:val="center"/>
          </w:tcPr>
          <w:p w14:paraId="75359A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金台区气象预警</w:t>
            </w:r>
            <w:r>
              <w:rPr>
                <w:rFonts w:hint="eastAsia" w:ascii="仿宋_GB2312" w:hAnsi="宋体" w:eastAsia="仿宋_GB2312" w:cs="宋体"/>
                <w:spacing w:val="-6"/>
                <w:kern w:val="0"/>
                <w:sz w:val="20"/>
                <w:szCs w:val="20"/>
                <w:lang w:eastAsia="zh-CN"/>
              </w:rPr>
              <w:t>监测</w:t>
            </w:r>
            <w:r>
              <w:rPr>
                <w:rFonts w:hint="eastAsia" w:ascii="仿宋_GB2312" w:hAnsi="宋体" w:eastAsia="仿宋_GB2312" w:cs="宋体"/>
                <w:spacing w:val="-6"/>
                <w:kern w:val="0"/>
                <w:sz w:val="20"/>
                <w:szCs w:val="20"/>
              </w:rPr>
              <w:t>系统项目</w:t>
            </w:r>
          </w:p>
        </w:tc>
        <w:tc>
          <w:tcPr>
            <w:tcW w:w="2040" w:type="pct"/>
            <w:shd w:val="clear" w:color="auto" w:fill="auto"/>
            <w:vAlign w:val="center"/>
          </w:tcPr>
          <w:p w14:paraId="32477BF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建设气象预警指挥中心一处，总面积1000平方米；包括气象监测预报预警室、地质灾害监测室、火险气象监测室、安装LED大屏显示器、一体化控制台、4K超高清摄像头、后台服务器等；配套建设气象监测基站设施</w:t>
            </w:r>
          </w:p>
        </w:tc>
        <w:tc>
          <w:tcPr>
            <w:tcW w:w="460" w:type="pct"/>
            <w:shd w:val="clear" w:color="auto" w:fill="auto"/>
            <w:vAlign w:val="center"/>
          </w:tcPr>
          <w:p w14:paraId="2BEF17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309DF2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0A597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CF0CE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0C34A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369D1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区气象局</w:t>
            </w:r>
          </w:p>
        </w:tc>
      </w:tr>
      <w:tr w14:paraId="043C5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5D23ECEF">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七、公共服务项目（7</w:t>
            </w:r>
            <w:r>
              <w:rPr>
                <w:rFonts w:ascii="仿宋_GB2312" w:hAnsi="宋体" w:eastAsia="仿宋_GB2312" w:cs="宋体"/>
                <w:b/>
                <w:bCs/>
                <w:kern w:val="0"/>
                <w:sz w:val="20"/>
                <w:szCs w:val="20"/>
              </w:rPr>
              <w:t>5</w:t>
            </w:r>
            <w:r>
              <w:rPr>
                <w:rFonts w:hint="eastAsia" w:ascii="仿宋_GB2312" w:hAnsi="宋体" w:eastAsia="仿宋_GB2312" w:cs="宋体"/>
                <w:b/>
                <w:bCs/>
                <w:kern w:val="0"/>
                <w:sz w:val="20"/>
                <w:szCs w:val="20"/>
              </w:rPr>
              <w:t>个）</w:t>
            </w:r>
          </w:p>
        </w:tc>
        <w:tc>
          <w:tcPr>
            <w:tcW w:w="460" w:type="pct"/>
            <w:shd w:val="clear" w:color="auto" w:fill="auto"/>
            <w:vAlign w:val="center"/>
          </w:tcPr>
          <w:p w14:paraId="59126BF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265538A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59F88B47">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14</w:t>
            </w:r>
            <w:r>
              <w:rPr>
                <w:rFonts w:ascii="仿宋_GB2312" w:hAnsi="宋体" w:eastAsia="仿宋_GB2312" w:cs="宋体"/>
                <w:b/>
                <w:bCs/>
                <w:kern w:val="0"/>
                <w:sz w:val="20"/>
                <w:szCs w:val="20"/>
              </w:rPr>
              <w:t>7</w:t>
            </w:r>
            <w:r>
              <w:rPr>
                <w:rFonts w:hint="eastAsia" w:ascii="仿宋_GB2312" w:hAnsi="宋体" w:eastAsia="仿宋_GB2312" w:cs="宋体"/>
                <w:b/>
                <w:bCs/>
                <w:kern w:val="0"/>
                <w:sz w:val="20"/>
                <w:szCs w:val="20"/>
              </w:rPr>
              <w:t>.28</w:t>
            </w:r>
          </w:p>
        </w:tc>
        <w:tc>
          <w:tcPr>
            <w:tcW w:w="377" w:type="pct"/>
            <w:shd w:val="clear" w:color="auto" w:fill="auto"/>
            <w:vAlign w:val="center"/>
          </w:tcPr>
          <w:p w14:paraId="3B99BADF">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w:t>
            </w:r>
            <w:r>
              <w:rPr>
                <w:rFonts w:ascii="仿宋_GB2312" w:hAnsi="宋体" w:eastAsia="仿宋_GB2312" w:cs="宋体"/>
                <w:b/>
                <w:bCs/>
                <w:kern w:val="0"/>
                <w:sz w:val="20"/>
                <w:szCs w:val="20"/>
              </w:rPr>
              <w:t>9</w:t>
            </w:r>
            <w:r>
              <w:rPr>
                <w:rFonts w:hint="eastAsia" w:ascii="仿宋_GB2312" w:hAnsi="宋体" w:eastAsia="仿宋_GB2312" w:cs="宋体"/>
                <w:b/>
                <w:bCs/>
                <w:kern w:val="0"/>
                <w:sz w:val="20"/>
                <w:szCs w:val="20"/>
              </w:rPr>
              <w:t>.26</w:t>
            </w:r>
          </w:p>
        </w:tc>
        <w:tc>
          <w:tcPr>
            <w:tcW w:w="319" w:type="pct"/>
            <w:shd w:val="clear" w:color="auto" w:fill="auto"/>
            <w:vAlign w:val="center"/>
          </w:tcPr>
          <w:p w14:paraId="5D34C4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49695A8E">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4AD4D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DDE194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4445367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教育（47）</w:t>
            </w:r>
          </w:p>
        </w:tc>
        <w:tc>
          <w:tcPr>
            <w:tcW w:w="2040" w:type="pct"/>
            <w:shd w:val="clear" w:color="auto" w:fill="auto"/>
            <w:vAlign w:val="center"/>
          </w:tcPr>
          <w:p w14:paraId="2571AC0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5750AB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74" w:type="pct"/>
            <w:shd w:val="clear" w:color="auto" w:fill="auto"/>
            <w:vAlign w:val="center"/>
          </w:tcPr>
          <w:p w14:paraId="018B480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321" w:type="pct"/>
            <w:shd w:val="clear" w:color="auto" w:fill="auto"/>
            <w:vAlign w:val="center"/>
          </w:tcPr>
          <w:p w14:paraId="16BFC40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106.15</w:t>
            </w:r>
          </w:p>
        </w:tc>
        <w:tc>
          <w:tcPr>
            <w:tcW w:w="377" w:type="pct"/>
            <w:shd w:val="clear" w:color="auto" w:fill="auto"/>
            <w:vAlign w:val="center"/>
          </w:tcPr>
          <w:p w14:paraId="0F4C817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81.13</w:t>
            </w:r>
          </w:p>
        </w:tc>
        <w:tc>
          <w:tcPr>
            <w:tcW w:w="319" w:type="pct"/>
            <w:shd w:val="clear" w:color="auto" w:fill="auto"/>
            <w:vAlign w:val="center"/>
          </w:tcPr>
          <w:p w14:paraId="6D3446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287964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r>
      <w:tr w14:paraId="55E71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0" w:hRule="atLeast"/>
        </w:trPr>
        <w:tc>
          <w:tcPr>
            <w:tcW w:w="225" w:type="pct"/>
            <w:shd w:val="clear" w:color="auto" w:fill="auto"/>
            <w:vAlign w:val="center"/>
          </w:tcPr>
          <w:p w14:paraId="61A521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171</w:t>
            </w:r>
          </w:p>
        </w:tc>
        <w:tc>
          <w:tcPr>
            <w:tcW w:w="490" w:type="pct"/>
            <w:shd w:val="clear" w:color="auto" w:fill="auto"/>
            <w:vAlign w:val="center"/>
          </w:tcPr>
          <w:p w14:paraId="7586B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金台区龙泉中学迁建项目</w:t>
            </w:r>
          </w:p>
        </w:tc>
        <w:tc>
          <w:tcPr>
            <w:tcW w:w="2040" w:type="pct"/>
            <w:shd w:val="clear" w:color="auto" w:fill="auto"/>
            <w:vAlign w:val="center"/>
          </w:tcPr>
          <w:p w14:paraId="4BA948A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建设教学综合楼一栋、风雨操场综合楼一栋，总建筑面积4万平方米，配套建设室外运动场、门房、体育器材室等附属设施，并购置现代化设施设备</w:t>
            </w:r>
          </w:p>
        </w:tc>
        <w:tc>
          <w:tcPr>
            <w:tcW w:w="460" w:type="pct"/>
            <w:shd w:val="clear" w:color="auto" w:fill="auto"/>
            <w:vAlign w:val="center"/>
          </w:tcPr>
          <w:p w14:paraId="1A6714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072943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F17E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77" w:type="pct"/>
            <w:shd w:val="clear" w:color="auto" w:fill="auto"/>
            <w:vAlign w:val="center"/>
          </w:tcPr>
          <w:p w14:paraId="0EFBC9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w:t>
            </w:r>
          </w:p>
        </w:tc>
        <w:tc>
          <w:tcPr>
            <w:tcW w:w="319" w:type="pct"/>
            <w:shd w:val="clear" w:color="auto" w:fill="auto"/>
            <w:vAlign w:val="center"/>
          </w:tcPr>
          <w:p w14:paraId="4B45A8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832BD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F39F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7" w:hRule="atLeast"/>
        </w:trPr>
        <w:tc>
          <w:tcPr>
            <w:tcW w:w="225" w:type="pct"/>
            <w:shd w:val="clear" w:color="auto" w:fill="auto"/>
            <w:vAlign w:val="center"/>
          </w:tcPr>
          <w:p w14:paraId="5DCAC3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172</w:t>
            </w:r>
          </w:p>
        </w:tc>
        <w:tc>
          <w:tcPr>
            <w:tcW w:w="490" w:type="pct"/>
            <w:shd w:val="clear" w:color="auto" w:fill="auto"/>
            <w:vAlign w:val="center"/>
          </w:tcPr>
          <w:p w14:paraId="6FB65B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金台区宏文小学教学综合楼项目</w:t>
            </w:r>
          </w:p>
        </w:tc>
        <w:tc>
          <w:tcPr>
            <w:tcW w:w="2040" w:type="pct"/>
            <w:shd w:val="clear" w:color="auto" w:fill="auto"/>
            <w:vAlign w:val="center"/>
          </w:tcPr>
          <w:p w14:paraId="6A144FD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新建教学综合楼约4800万平方米，购置教育现代化设施设备、教学仪器设备等</w:t>
            </w:r>
          </w:p>
        </w:tc>
        <w:tc>
          <w:tcPr>
            <w:tcW w:w="460" w:type="pct"/>
            <w:shd w:val="clear" w:color="auto" w:fill="auto"/>
            <w:vAlign w:val="center"/>
          </w:tcPr>
          <w:p w14:paraId="5A88FA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2B0654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A3FFD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783B3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6E3BF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1E9B9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0FE3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8" w:hRule="atLeast"/>
        </w:trPr>
        <w:tc>
          <w:tcPr>
            <w:tcW w:w="225" w:type="pct"/>
            <w:shd w:val="clear" w:color="auto" w:fill="auto"/>
            <w:vAlign w:val="center"/>
          </w:tcPr>
          <w:p w14:paraId="3930A1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173</w:t>
            </w:r>
          </w:p>
        </w:tc>
        <w:tc>
          <w:tcPr>
            <w:tcW w:w="490" w:type="pct"/>
            <w:shd w:val="clear" w:color="auto" w:fill="auto"/>
            <w:vAlign w:val="center"/>
          </w:tcPr>
          <w:p w14:paraId="67C023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金台区列电小学教学综合楼项目</w:t>
            </w:r>
          </w:p>
        </w:tc>
        <w:tc>
          <w:tcPr>
            <w:tcW w:w="2040" w:type="pct"/>
            <w:shd w:val="clear" w:color="auto" w:fill="auto"/>
            <w:vAlign w:val="center"/>
          </w:tcPr>
          <w:p w14:paraId="3EF38E6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新建列电小学框架结构教学综合楼一栋，建筑面积6000平方米，配套建设附属设施等</w:t>
            </w:r>
          </w:p>
        </w:tc>
        <w:tc>
          <w:tcPr>
            <w:tcW w:w="460" w:type="pct"/>
            <w:shd w:val="clear" w:color="auto" w:fill="auto"/>
            <w:vAlign w:val="center"/>
          </w:tcPr>
          <w:p w14:paraId="4C57D4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1DB6EC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64FBE0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B59DB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1DAB11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AE3E1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A4AA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149B51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174</w:t>
            </w:r>
          </w:p>
        </w:tc>
        <w:tc>
          <w:tcPr>
            <w:tcW w:w="490" w:type="pct"/>
            <w:shd w:val="clear" w:color="auto" w:fill="auto"/>
            <w:vAlign w:val="center"/>
          </w:tcPr>
          <w:p w14:paraId="5B6AE1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金台区宝嘉小学教学综合楼项目</w:t>
            </w:r>
          </w:p>
        </w:tc>
        <w:tc>
          <w:tcPr>
            <w:tcW w:w="2040" w:type="pct"/>
            <w:shd w:val="clear" w:color="auto" w:fill="auto"/>
            <w:vAlign w:val="center"/>
          </w:tcPr>
          <w:p w14:paraId="22EF1E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新建框架结构教学综合楼一栋，建筑面积7900平方米。配套建设给排水、供电、供暖、消防、绿化、道路及监控系统等教学设施</w:t>
            </w:r>
          </w:p>
        </w:tc>
        <w:tc>
          <w:tcPr>
            <w:tcW w:w="460" w:type="pct"/>
            <w:shd w:val="clear" w:color="auto" w:fill="auto"/>
            <w:vAlign w:val="center"/>
          </w:tcPr>
          <w:p w14:paraId="22F0E4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6A327F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0B483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77" w:type="pct"/>
            <w:shd w:val="clear" w:color="auto" w:fill="auto"/>
            <w:vAlign w:val="center"/>
          </w:tcPr>
          <w:p w14:paraId="0DD108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0.37</w:t>
            </w:r>
          </w:p>
        </w:tc>
        <w:tc>
          <w:tcPr>
            <w:tcW w:w="319" w:type="pct"/>
            <w:shd w:val="clear" w:color="auto" w:fill="auto"/>
            <w:vAlign w:val="center"/>
          </w:tcPr>
          <w:p w14:paraId="32A5ED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359D8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4D05C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2" w:hRule="atLeast"/>
        </w:trPr>
        <w:tc>
          <w:tcPr>
            <w:tcW w:w="225" w:type="pct"/>
            <w:shd w:val="clear" w:color="auto" w:fill="auto"/>
            <w:vAlign w:val="center"/>
          </w:tcPr>
          <w:p w14:paraId="70BF1B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175</w:t>
            </w:r>
          </w:p>
        </w:tc>
        <w:tc>
          <w:tcPr>
            <w:tcW w:w="490" w:type="pct"/>
            <w:shd w:val="clear" w:color="auto" w:fill="auto"/>
            <w:vAlign w:val="center"/>
          </w:tcPr>
          <w:p w14:paraId="6978B7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金台区宝平路小学教学综合楼项目</w:t>
            </w:r>
          </w:p>
        </w:tc>
        <w:tc>
          <w:tcPr>
            <w:tcW w:w="2040" w:type="pct"/>
            <w:shd w:val="clear" w:color="auto" w:fill="auto"/>
            <w:vAlign w:val="center"/>
          </w:tcPr>
          <w:p w14:paraId="4B1023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新建约5800平方米教学综合楼一栋（地下一层，地上四层）；配套建设室内外工程等附属配套设施，购置教学、办公等设施设备</w:t>
            </w:r>
          </w:p>
        </w:tc>
        <w:tc>
          <w:tcPr>
            <w:tcW w:w="460" w:type="pct"/>
            <w:shd w:val="clear" w:color="auto" w:fill="auto"/>
            <w:vAlign w:val="center"/>
          </w:tcPr>
          <w:p w14:paraId="1A1C04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26D43C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2020-2021</w:t>
            </w:r>
          </w:p>
        </w:tc>
        <w:tc>
          <w:tcPr>
            <w:tcW w:w="321" w:type="pct"/>
            <w:shd w:val="clear" w:color="auto" w:fill="auto"/>
            <w:vAlign w:val="center"/>
          </w:tcPr>
          <w:p w14:paraId="0E0C86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0.34</w:t>
            </w:r>
          </w:p>
        </w:tc>
        <w:tc>
          <w:tcPr>
            <w:tcW w:w="377" w:type="pct"/>
            <w:shd w:val="clear" w:color="auto" w:fill="auto"/>
            <w:vAlign w:val="center"/>
          </w:tcPr>
          <w:p w14:paraId="451969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0.32</w:t>
            </w:r>
          </w:p>
        </w:tc>
        <w:tc>
          <w:tcPr>
            <w:tcW w:w="319" w:type="pct"/>
            <w:shd w:val="clear" w:color="auto" w:fill="auto"/>
            <w:vAlign w:val="center"/>
          </w:tcPr>
          <w:p w14:paraId="1B74D8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DE115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8B6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0DFCAC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176</w:t>
            </w:r>
          </w:p>
        </w:tc>
        <w:tc>
          <w:tcPr>
            <w:tcW w:w="490" w:type="pct"/>
            <w:shd w:val="clear" w:color="auto" w:fill="auto"/>
            <w:vAlign w:val="center"/>
          </w:tcPr>
          <w:p w14:paraId="454551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金台区冠森路小学建设项目</w:t>
            </w:r>
          </w:p>
        </w:tc>
        <w:tc>
          <w:tcPr>
            <w:tcW w:w="2040" w:type="pct"/>
            <w:shd w:val="clear" w:color="auto" w:fill="auto"/>
            <w:vAlign w:val="center"/>
          </w:tcPr>
          <w:p w14:paraId="55C6922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067A18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冠森路</w:t>
            </w:r>
          </w:p>
        </w:tc>
        <w:tc>
          <w:tcPr>
            <w:tcW w:w="374" w:type="pct"/>
            <w:shd w:val="clear" w:color="auto" w:fill="auto"/>
            <w:vAlign w:val="center"/>
          </w:tcPr>
          <w:p w14:paraId="2F6267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BAAE4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C6A12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0B1E6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69AF8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BCB4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7" w:hRule="atLeast"/>
        </w:trPr>
        <w:tc>
          <w:tcPr>
            <w:tcW w:w="225" w:type="pct"/>
            <w:shd w:val="clear" w:color="auto" w:fill="auto"/>
            <w:vAlign w:val="center"/>
          </w:tcPr>
          <w:p w14:paraId="30EF12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177</w:t>
            </w:r>
          </w:p>
        </w:tc>
        <w:tc>
          <w:tcPr>
            <w:tcW w:w="490" w:type="pct"/>
            <w:shd w:val="clear" w:color="auto" w:fill="auto"/>
            <w:vAlign w:val="center"/>
          </w:tcPr>
          <w:p w14:paraId="3B8595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金台区金台中学教学综合楼建设项目</w:t>
            </w:r>
          </w:p>
        </w:tc>
        <w:tc>
          <w:tcPr>
            <w:tcW w:w="2040" w:type="pct"/>
            <w:shd w:val="clear" w:color="auto" w:fill="auto"/>
            <w:vAlign w:val="center"/>
          </w:tcPr>
          <w:p w14:paraId="171ED17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新建框架结构教学综合楼一栋，建筑面积6000平方米，配套附属设施建设</w:t>
            </w:r>
          </w:p>
        </w:tc>
        <w:tc>
          <w:tcPr>
            <w:tcW w:w="460" w:type="pct"/>
            <w:shd w:val="clear" w:color="auto" w:fill="auto"/>
            <w:vAlign w:val="center"/>
          </w:tcPr>
          <w:p w14:paraId="735F2F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引渭路</w:t>
            </w:r>
          </w:p>
        </w:tc>
        <w:tc>
          <w:tcPr>
            <w:tcW w:w="374" w:type="pct"/>
            <w:shd w:val="clear" w:color="auto" w:fill="auto"/>
            <w:vAlign w:val="center"/>
          </w:tcPr>
          <w:p w14:paraId="2F5F64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F05C7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15001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4D8AE5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633F1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B422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70B3F9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178</w:t>
            </w:r>
          </w:p>
        </w:tc>
        <w:tc>
          <w:tcPr>
            <w:tcW w:w="490" w:type="pct"/>
            <w:shd w:val="clear" w:color="auto" w:fill="auto"/>
            <w:vAlign w:val="center"/>
          </w:tcPr>
          <w:p w14:paraId="31D90A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金台区陈仓路小学改扩建项目</w:t>
            </w:r>
          </w:p>
        </w:tc>
        <w:tc>
          <w:tcPr>
            <w:tcW w:w="2040" w:type="pct"/>
            <w:shd w:val="clear" w:color="auto" w:fill="auto"/>
            <w:vAlign w:val="center"/>
          </w:tcPr>
          <w:p w14:paraId="1FEE9FE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新建教学楼、综合楼、体育运动场馆、地下车库等约2.1</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，购置教育现代化设施设备、教学仪器设备等</w:t>
            </w:r>
          </w:p>
        </w:tc>
        <w:tc>
          <w:tcPr>
            <w:tcW w:w="460" w:type="pct"/>
            <w:shd w:val="clear" w:color="auto" w:fill="auto"/>
            <w:vAlign w:val="center"/>
          </w:tcPr>
          <w:p w14:paraId="4C40AA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陈仓路</w:t>
            </w:r>
          </w:p>
        </w:tc>
        <w:tc>
          <w:tcPr>
            <w:tcW w:w="374" w:type="pct"/>
            <w:shd w:val="clear" w:color="auto" w:fill="auto"/>
            <w:vAlign w:val="center"/>
          </w:tcPr>
          <w:p w14:paraId="122381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46934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475C8A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5FE19C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68221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668F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4" w:hRule="atLeast"/>
        </w:trPr>
        <w:tc>
          <w:tcPr>
            <w:tcW w:w="225" w:type="pct"/>
            <w:shd w:val="clear" w:color="auto" w:fill="auto"/>
            <w:vAlign w:val="center"/>
          </w:tcPr>
          <w:p w14:paraId="706255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179</w:t>
            </w:r>
          </w:p>
        </w:tc>
        <w:tc>
          <w:tcPr>
            <w:tcW w:w="490" w:type="pct"/>
            <w:shd w:val="clear" w:color="auto" w:fill="auto"/>
            <w:vAlign w:val="center"/>
          </w:tcPr>
          <w:p w14:paraId="01EFF7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金台区陈仓园小学建设项目</w:t>
            </w:r>
          </w:p>
        </w:tc>
        <w:tc>
          <w:tcPr>
            <w:tcW w:w="2040" w:type="pct"/>
            <w:shd w:val="clear" w:color="auto" w:fill="auto"/>
            <w:vAlign w:val="center"/>
          </w:tcPr>
          <w:p w14:paraId="675B28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新建教学综合楼、室外体育运动场、地下车库等约1.8万平方米，购置教育现代化设施设备、教学仪器设备等</w:t>
            </w:r>
          </w:p>
        </w:tc>
        <w:tc>
          <w:tcPr>
            <w:tcW w:w="460" w:type="pct"/>
            <w:shd w:val="clear" w:color="auto" w:fill="auto"/>
            <w:vAlign w:val="center"/>
          </w:tcPr>
          <w:p w14:paraId="00C164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23C51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AA73E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DE8E0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21A22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C73E3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FA7F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3320A6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180</w:t>
            </w:r>
          </w:p>
        </w:tc>
        <w:tc>
          <w:tcPr>
            <w:tcW w:w="490" w:type="pct"/>
            <w:shd w:val="clear" w:color="auto" w:fill="auto"/>
            <w:vAlign w:val="center"/>
          </w:tcPr>
          <w:p w14:paraId="523864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金台区五星小学建设项目</w:t>
            </w:r>
          </w:p>
        </w:tc>
        <w:tc>
          <w:tcPr>
            <w:tcW w:w="2040" w:type="pct"/>
            <w:shd w:val="clear" w:color="auto" w:fill="auto"/>
            <w:vAlign w:val="center"/>
          </w:tcPr>
          <w:p w14:paraId="1F883EC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新建教学综合楼、体育运动场馆等约2万平方米，购置教育现代化设施设备、教学仪器设备等</w:t>
            </w:r>
          </w:p>
        </w:tc>
        <w:tc>
          <w:tcPr>
            <w:tcW w:w="460" w:type="pct"/>
            <w:shd w:val="clear" w:color="auto" w:fill="auto"/>
            <w:vAlign w:val="center"/>
          </w:tcPr>
          <w:p w14:paraId="0B826D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五星村</w:t>
            </w:r>
          </w:p>
        </w:tc>
        <w:tc>
          <w:tcPr>
            <w:tcW w:w="374" w:type="pct"/>
            <w:shd w:val="clear" w:color="auto" w:fill="auto"/>
            <w:vAlign w:val="center"/>
          </w:tcPr>
          <w:p w14:paraId="59B645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22342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097F4F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93081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1DC74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3BBF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54031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181</w:t>
            </w:r>
          </w:p>
        </w:tc>
        <w:tc>
          <w:tcPr>
            <w:tcW w:w="490" w:type="pct"/>
            <w:shd w:val="clear" w:color="auto" w:fill="auto"/>
            <w:vAlign w:val="center"/>
          </w:tcPr>
          <w:p w14:paraId="721C97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金台区卧龙寺小学建设项目</w:t>
            </w:r>
          </w:p>
        </w:tc>
        <w:tc>
          <w:tcPr>
            <w:tcW w:w="2040" w:type="pct"/>
            <w:shd w:val="clear" w:color="auto" w:fill="auto"/>
            <w:vAlign w:val="center"/>
          </w:tcPr>
          <w:p w14:paraId="7393DBF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新建教学综合楼、综合实验楼、风雨操场及餐厅、室外体育运动场约2.4万平方米，购置教学仪器设备等</w:t>
            </w:r>
          </w:p>
        </w:tc>
        <w:tc>
          <w:tcPr>
            <w:tcW w:w="460" w:type="pct"/>
            <w:shd w:val="clear" w:color="auto" w:fill="auto"/>
            <w:vAlign w:val="center"/>
          </w:tcPr>
          <w:p w14:paraId="7FC1FC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w:t>
            </w:r>
          </w:p>
        </w:tc>
        <w:tc>
          <w:tcPr>
            <w:tcW w:w="374" w:type="pct"/>
            <w:shd w:val="clear" w:color="auto" w:fill="auto"/>
            <w:vAlign w:val="center"/>
          </w:tcPr>
          <w:p w14:paraId="25EA0C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C8AC3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679E70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6CF45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C464E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327F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5D9175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182</w:t>
            </w:r>
          </w:p>
        </w:tc>
        <w:tc>
          <w:tcPr>
            <w:tcW w:w="490" w:type="pct"/>
            <w:shd w:val="clear" w:color="auto" w:fill="auto"/>
            <w:vAlign w:val="center"/>
          </w:tcPr>
          <w:p w14:paraId="1E993A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金台区蟠龙镇南皋小学教学综合楼项目</w:t>
            </w:r>
          </w:p>
        </w:tc>
        <w:tc>
          <w:tcPr>
            <w:tcW w:w="2040" w:type="pct"/>
            <w:shd w:val="clear" w:color="auto" w:fill="auto"/>
            <w:vAlign w:val="center"/>
          </w:tcPr>
          <w:p w14:paraId="2830217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新建框架结构教学综合楼一栋，建筑面积6800平方米，配套建设附属设施等</w:t>
            </w:r>
          </w:p>
        </w:tc>
        <w:tc>
          <w:tcPr>
            <w:tcW w:w="460" w:type="pct"/>
            <w:shd w:val="clear" w:color="auto" w:fill="auto"/>
            <w:vAlign w:val="center"/>
          </w:tcPr>
          <w:p w14:paraId="3F6827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73A921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27F6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445F8A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5568DC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341BD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62CA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3FBF75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183</w:t>
            </w:r>
          </w:p>
        </w:tc>
        <w:tc>
          <w:tcPr>
            <w:tcW w:w="490" w:type="pct"/>
            <w:shd w:val="clear" w:color="auto" w:fill="auto"/>
            <w:vAlign w:val="center"/>
          </w:tcPr>
          <w:p w14:paraId="09E63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金台区蟠龙镇韩村小学教学综合楼项目</w:t>
            </w:r>
          </w:p>
        </w:tc>
        <w:tc>
          <w:tcPr>
            <w:tcW w:w="2040" w:type="pct"/>
            <w:shd w:val="clear" w:color="auto" w:fill="auto"/>
            <w:vAlign w:val="center"/>
          </w:tcPr>
          <w:p w14:paraId="0B8E7A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新建蟠龙镇韩村小学框架结构教学综合楼一栋，建筑面积6400平方米，配套建设附属设施等</w:t>
            </w:r>
          </w:p>
        </w:tc>
        <w:tc>
          <w:tcPr>
            <w:tcW w:w="460" w:type="pct"/>
            <w:shd w:val="clear" w:color="auto" w:fill="auto"/>
            <w:vAlign w:val="center"/>
          </w:tcPr>
          <w:p w14:paraId="3452FF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48FEFA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E003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6FD80F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3E877C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FAB0C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A54B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473F4F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184</w:t>
            </w:r>
          </w:p>
        </w:tc>
        <w:tc>
          <w:tcPr>
            <w:tcW w:w="490" w:type="pct"/>
            <w:shd w:val="clear" w:color="auto" w:fill="auto"/>
            <w:vAlign w:val="center"/>
          </w:tcPr>
          <w:p w14:paraId="5AC8E3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金台区蟠龙镇小村小学教学综合楼项目</w:t>
            </w:r>
          </w:p>
        </w:tc>
        <w:tc>
          <w:tcPr>
            <w:tcW w:w="2040" w:type="pct"/>
            <w:shd w:val="clear" w:color="auto" w:fill="auto"/>
            <w:vAlign w:val="center"/>
          </w:tcPr>
          <w:p w14:paraId="7C533A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新建蟠龙镇小村小学框架结构教学综合楼一栋，建筑面积6800平方米，配套建设附属设施等</w:t>
            </w:r>
          </w:p>
        </w:tc>
        <w:tc>
          <w:tcPr>
            <w:tcW w:w="460" w:type="pct"/>
            <w:shd w:val="clear" w:color="auto" w:fill="auto"/>
            <w:vAlign w:val="center"/>
          </w:tcPr>
          <w:p w14:paraId="1F8C5A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4939D6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D7A58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77" w:type="pct"/>
            <w:shd w:val="clear" w:color="auto" w:fill="auto"/>
            <w:vAlign w:val="center"/>
          </w:tcPr>
          <w:p w14:paraId="46F183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w:t>
            </w:r>
          </w:p>
        </w:tc>
        <w:tc>
          <w:tcPr>
            <w:tcW w:w="319" w:type="pct"/>
            <w:shd w:val="clear" w:color="auto" w:fill="auto"/>
            <w:vAlign w:val="center"/>
          </w:tcPr>
          <w:p w14:paraId="5A1FD4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8A966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5C3A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2" w:hRule="atLeast"/>
        </w:trPr>
        <w:tc>
          <w:tcPr>
            <w:tcW w:w="225" w:type="pct"/>
            <w:shd w:val="clear" w:color="auto" w:fill="auto"/>
            <w:vAlign w:val="center"/>
          </w:tcPr>
          <w:p w14:paraId="0E48DC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185</w:t>
            </w:r>
          </w:p>
        </w:tc>
        <w:tc>
          <w:tcPr>
            <w:tcW w:w="490" w:type="pct"/>
            <w:shd w:val="clear" w:color="auto" w:fill="auto"/>
            <w:vAlign w:val="center"/>
          </w:tcPr>
          <w:p w14:paraId="678BA0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金台区蟠龙第二小学建设项目</w:t>
            </w:r>
          </w:p>
        </w:tc>
        <w:tc>
          <w:tcPr>
            <w:tcW w:w="2040" w:type="pct"/>
            <w:shd w:val="clear" w:color="auto" w:fill="auto"/>
            <w:vAlign w:val="center"/>
          </w:tcPr>
          <w:p w14:paraId="2FFB0C7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总用地面积50亩，总建筑面积1.5万平方米，新建教学楼、综合楼、风雨操场、食堂、标准化运动场</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配套辅助设施</w:t>
            </w:r>
          </w:p>
        </w:tc>
        <w:tc>
          <w:tcPr>
            <w:tcW w:w="460" w:type="pct"/>
            <w:shd w:val="clear" w:color="auto" w:fill="auto"/>
            <w:vAlign w:val="center"/>
          </w:tcPr>
          <w:p w14:paraId="7DCD7D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7DBCF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2F2F2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434A2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4D1111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5824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7AA7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9" w:hRule="atLeast"/>
        </w:trPr>
        <w:tc>
          <w:tcPr>
            <w:tcW w:w="225" w:type="pct"/>
            <w:shd w:val="clear" w:color="auto" w:fill="auto"/>
            <w:vAlign w:val="center"/>
          </w:tcPr>
          <w:p w14:paraId="540726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186</w:t>
            </w:r>
          </w:p>
        </w:tc>
        <w:tc>
          <w:tcPr>
            <w:tcW w:w="490" w:type="pct"/>
            <w:shd w:val="clear" w:color="auto" w:fill="auto"/>
            <w:vAlign w:val="center"/>
          </w:tcPr>
          <w:p w14:paraId="5CC2C5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金台区宏文中学教学综合楼项目</w:t>
            </w:r>
          </w:p>
        </w:tc>
        <w:tc>
          <w:tcPr>
            <w:tcW w:w="2040" w:type="pct"/>
            <w:shd w:val="clear" w:color="auto" w:fill="auto"/>
            <w:vAlign w:val="center"/>
          </w:tcPr>
          <w:p w14:paraId="27223A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新建教学综合楼5400平方米，购置教育现代化设施设备、教学仪器设备等</w:t>
            </w:r>
          </w:p>
        </w:tc>
        <w:tc>
          <w:tcPr>
            <w:tcW w:w="460" w:type="pct"/>
            <w:shd w:val="clear" w:color="auto" w:fill="auto"/>
            <w:vAlign w:val="center"/>
          </w:tcPr>
          <w:p w14:paraId="0B3ED4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46C76B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5B79C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05D15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10D19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9170E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50AC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0B68E9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187</w:t>
            </w:r>
          </w:p>
        </w:tc>
        <w:tc>
          <w:tcPr>
            <w:tcW w:w="490" w:type="pct"/>
            <w:shd w:val="clear" w:color="auto" w:fill="auto"/>
            <w:vAlign w:val="center"/>
          </w:tcPr>
          <w:p w14:paraId="49DEAD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金台区石油初中教学综合楼项目</w:t>
            </w:r>
          </w:p>
        </w:tc>
        <w:tc>
          <w:tcPr>
            <w:tcW w:w="2040" w:type="pct"/>
            <w:shd w:val="clear" w:color="auto" w:fill="auto"/>
            <w:vAlign w:val="center"/>
          </w:tcPr>
          <w:p w14:paraId="6D8329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新建石油初中框架结构教学综合楼一栋，建筑面积6000平方米，配套建设附属设施等</w:t>
            </w:r>
          </w:p>
        </w:tc>
        <w:tc>
          <w:tcPr>
            <w:tcW w:w="460" w:type="pct"/>
            <w:shd w:val="clear" w:color="auto" w:fill="auto"/>
            <w:vAlign w:val="center"/>
          </w:tcPr>
          <w:p w14:paraId="2AE114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595DE4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35177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3DA1DD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057D58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935FF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28A6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9" w:hRule="atLeast"/>
        </w:trPr>
        <w:tc>
          <w:tcPr>
            <w:tcW w:w="225" w:type="pct"/>
            <w:shd w:val="clear" w:color="auto" w:fill="auto"/>
            <w:vAlign w:val="center"/>
          </w:tcPr>
          <w:p w14:paraId="3B9EEE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188</w:t>
            </w:r>
          </w:p>
        </w:tc>
        <w:tc>
          <w:tcPr>
            <w:tcW w:w="490" w:type="pct"/>
            <w:shd w:val="clear" w:color="auto" w:fill="auto"/>
            <w:vAlign w:val="center"/>
          </w:tcPr>
          <w:p w14:paraId="5B979A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金台区陈仓园初中建设项目</w:t>
            </w:r>
          </w:p>
        </w:tc>
        <w:tc>
          <w:tcPr>
            <w:tcW w:w="2040" w:type="pct"/>
            <w:shd w:val="clear" w:color="auto" w:fill="auto"/>
            <w:vAlign w:val="center"/>
          </w:tcPr>
          <w:p w14:paraId="0838455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新建教学综合楼、体育运动场地等约2.4万平方米，购置教育现代化设施设备、教学仪器设备等</w:t>
            </w:r>
          </w:p>
        </w:tc>
        <w:tc>
          <w:tcPr>
            <w:tcW w:w="460" w:type="pct"/>
            <w:shd w:val="clear" w:color="auto" w:fill="auto"/>
            <w:vAlign w:val="center"/>
          </w:tcPr>
          <w:p w14:paraId="69767A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w:t>
            </w:r>
          </w:p>
        </w:tc>
        <w:tc>
          <w:tcPr>
            <w:tcW w:w="374" w:type="pct"/>
            <w:shd w:val="clear" w:color="auto" w:fill="auto"/>
            <w:vAlign w:val="center"/>
          </w:tcPr>
          <w:p w14:paraId="383099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3E24A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1CBDDF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447493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E7CFA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BED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31CB12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189</w:t>
            </w:r>
          </w:p>
        </w:tc>
        <w:tc>
          <w:tcPr>
            <w:tcW w:w="490" w:type="pct"/>
            <w:shd w:val="clear" w:color="auto" w:fill="auto"/>
            <w:vAlign w:val="center"/>
          </w:tcPr>
          <w:p w14:paraId="2D932B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金台区卧龙寺中学教学综合楼项目</w:t>
            </w:r>
          </w:p>
        </w:tc>
        <w:tc>
          <w:tcPr>
            <w:tcW w:w="2040" w:type="pct"/>
            <w:shd w:val="clear" w:color="auto" w:fill="auto"/>
            <w:vAlign w:val="center"/>
          </w:tcPr>
          <w:p w14:paraId="528E22F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新建框架结构教学综合楼一栋，建筑面积8100平方米。配套建设给排水、供电、供暖、消防、绿化、道路及监控系统等教学设施</w:t>
            </w:r>
          </w:p>
        </w:tc>
        <w:tc>
          <w:tcPr>
            <w:tcW w:w="460" w:type="pct"/>
            <w:shd w:val="clear" w:color="auto" w:fill="auto"/>
            <w:vAlign w:val="center"/>
          </w:tcPr>
          <w:p w14:paraId="217F92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1D8DB9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A4C58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77" w:type="pct"/>
            <w:shd w:val="clear" w:color="auto" w:fill="auto"/>
            <w:vAlign w:val="center"/>
          </w:tcPr>
          <w:p w14:paraId="6DDDB9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w:t>
            </w:r>
          </w:p>
        </w:tc>
        <w:tc>
          <w:tcPr>
            <w:tcW w:w="319" w:type="pct"/>
            <w:shd w:val="clear" w:color="auto" w:fill="auto"/>
            <w:vAlign w:val="center"/>
          </w:tcPr>
          <w:p w14:paraId="0B273F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35805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D1AA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05334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190</w:t>
            </w:r>
          </w:p>
        </w:tc>
        <w:tc>
          <w:tcPr>
            <w:tcW w:w="490" w:type="pct"/>
            <w:shd w:val="clear" w:color="auto" w:fill="auto"/>
            <w:vAlign w:val="center"/>
          </w:tcPr>
          <w:p w14:paraId="0431AB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金台区蟠龙高中建设项目</w:t>
            </w:r>
          </w:p>
        </w:tc>
        <w:tc>
          <w:tcPr>
            <w:tcW w:w="2040" w:type="pct"/>
            <w:shd w:val="clear" w:color="auto" w:fill="auto"/>
            <w:vAlign w:val="center"/>
          </w:tcPr>
          <w:p w14:paraId="5EA963F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15897平方米，建设教学楼、综合实验楼、艺体楼、综合报告厅、风雨操场、食堂、标准化运动场、看台、道路、给排水、电力、通信、燃气、暖气、网络及绿化亮化等配套工程并购置相关教学设施设备采购等</w:t>
            </w:r>
          </w:p>
        </w:tc>
        <w:tc>
          <w:tcPr>
            <w:tcW w:w="460" w:type="pct"/>
            <w:shd w:val="clear" w:color="auto" w:fill="auto"/>
            <w:vAlign w:val="center"/>
          </w:tcPr>
          <w:p w14:paraId="298D91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5DEA1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58768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2F86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12BD2E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5EC2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37F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636AE0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191</w:t>
            </w:r>
          </w:p>
        </w:tc>
        <w:tc>
          <w:tcPr>
            <w:tcW w:w="490" w:type="pct"/>
            <w:shd w:val="clear" w:color="auto" w:fill="auto"/>
            <w:vAlign w:val="center"/>
          </w:tcPr>
          <w:p w14:paraId="59E4D6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金台区蟠龙一中教学综合楼建项目</w:t>
            </w:r>
          </w:p>
        </w:tc>
        <w:tc>
          <w:tcPr>
            <w:tcW w:w="2040" w:type="pct"/>
            <w:shd w:val="clear" w:color="auto" w:fill="auto"/>
            <w:vAlign w:val="center"/>
          </w:tcPr>
          <w:p w14:paraId="0E99D3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新建蟠龙一中框架结构教学综合楼一栋，建筑面积6000平方米，配套建设附属设施等</w:t>
            </w:r>
          </w:p>
        </w:tc>
        <w:tc>
          <w:tcPr>
            <w:tcW w:w="460" w:type="pct"/>
            <w:shd w:val="clear" w:color="auto" w:fill="auto"/>
            <w:vAlign w:val="center"/>
          </w:tcPr>
          <w:p w14:paraId="5BE575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restart"/>
            <w:shd w:val="clear" w:color="auto" w:fill="auto"/>
            <w:vAlign w:val="center"/>
          </w:tcPr>
          <w:p w14:paraId="36F663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D26F7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44265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AEE42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DA9DF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89A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03" w:hRule="atLeast"/>
        </w:trPr>
        <w:tc>
          <w:tcPr>
            <w:tcW w:w="225" w:type="pct"/>
            <w:shd w:val="clear" w:color="auto" w:fill="auto"/>
            <w:vAlign w:val="center"/>
          </w:tcPr>
          <w:p w14:paraId="29D081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192</w:t>
            </w:r>
          </w:p>
        </w:tc>
        <w:tc>
          <w:tcPr>
            <w:tcW w:w="490" w:type="pct"/>
            <w:shd w:val="clear" w:color="auto" w:fill="auto"/>
            <w:vAlign w:val="center"/>
          </w:tcPr>
          <w:p w14:paraId="26714B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金台区蟠龙二中教学综合楼项目</w:t>
            </w:r>
          </w:p>
        </w:tc>
        <w:tc>
          <w:tcPr>
            <w:tcW w:w="2040" w:type="pct"/>
            <w:shd w:val="clear" w:color="auto" w:fill="auto"/>
            <w:vAlign w:val="center"/>
          </w:tcPr>
          <w:p w14:paraId="0E28609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新建蟠龙二中框架结构教学综合楼一栋，建筑面积6000平方米，配套建设附属设施等</w:t>
            </w:r>
          </w:p>
        </w:tc>
        <w:tc>
          <w:tcPr>
            <w:tcW w:w="460" w:type="pct"/>
            <w:shd w:val="clear" w:color="auto" w:fill="auto"/>
            <w:vAlign w:val="center"/>
          </w:tcPr>
          <w:p w14:paraId="2CA8B4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vMerge w:val="continue"/>
            <w:vAlign w:val="center"/>
          </w:tcPr>
          <w:p w14:paraId="35ABE5D9">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23A83D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0E5256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5DFCB3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09BB1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0FC8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8" w:hRule="atLeast"/>
        </w:trPr>
        <w:tc>
          <w:tcPr>
            <w:tcW w:w="225" w:type="pct"/>
            <w:shd w:val="clear" w:color="auto" w:fill="auto"/>
            <w:vAlign w:val="center"/>
          </w:tcPr>
          <w:p w14:paraId="484348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193</w:t>
            </w:r>
          </w:p>
        </w:tc>
        <w:tc>
          <w:tcPr>
            <w:tcW w:w="490" w:type="pct"/>
            <w:shd w:val="clear" w:color="auto" w:fill="auto"/>
            <w:vAlign w:val="center"/>
          </w:tcPr>
          <w:p w14:paraId="03E33CF3">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金台区蟠龙第四中学建设项目</w:t>
            </w:r>
          </w:p>
        </w:tc>
        <w:tc>
          <w:tcPr>
            <w:tcW w:w="2040" w:type="pct"/>
            <w:shd w:val="clear" w:color="auto" w:fill="auto"/>
            <w:vAlign w:val="center"/>
          </w:tcPr>
          <w:p w14:paraId="5A34287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占地50亩，总建筑面积1.5万平方米，主要新建教学楼、实验楼、风雨操场、食堂、看台、标准化运动场及配套辅助设施</w:t>
            </w:r>
          </w:p>
        </w:tc>
        <w:tc>
          <w:tcPr>
            <w:tcW w:w="460" w:type="pct"/>
            <w:shd w:val="clear" w:color="auto" w:fill="auto"/>
            <w:vAlign w:val="center"/>
          </w:tcPr>
          <w:p w14:paraId="54322A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2546F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F055C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0A4DA3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18770F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28703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CF2B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08BFAB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194</w:t>
            </w:r>
          </w:p>
        </w:tc>
        <w:tc>
          <w:tcPr>
            <w:tcW w:w="490" w:type="pct"/>
            <w:shd w:val="clear" w:color="auto" w:fill="auto"/>
            <w:vAlign w:val="center"/>
          </w:tcPr>
          <w:p w14:paraId="77A21ABB">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金台高级中学实验楼建设项目</w:t>
            </w:r>
          </w:p>
        </w:tc>
        <w:tc>
          <w:tcPr>
            <w:tcW w:w="2040" w:type="pct"/>
            <w:shd w:val="clear" w:color="auto" w:fill="auto"/>
            <w:vAlign w:val="center"/>
          </w:tcPr>
          <w:p w14:paraId="3D613FD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新建金台高级中学框架结构实验楼一栋，建筑面积7000平方米，配套建设附属设施等</w:t>
            </w:r>
          </w:p>
        </w:tc>
        <w:tc>
          <w:tcPr>
            <w:tcW w:w="460" w:type="pct"/>
            <w:shd w:val="clear" w:color="auto" w:fill="auto"/>
            <w:vAlign w:val="center"/>
          </w:tcPr>
          <w:p w14:paraId="59A7F1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51B672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C9310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C67AB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7EE474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BEBAF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227B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shd w:val="clear" w:color="auto" w:fill="auto"/>
            <w:vAlign w:val="center"/>
          </w:tcPr>
          <w:p w14:paraId="085F77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195</w:t>
            </w:r>
          </w:p>
        </w:tc>
        <w:tc>
          <w:tcPr>
            <w:tcW w:w="490" w:type="pct"/>
            <w:shd w:val="clear" w:color="auto" w:fill="auto"/>
            <w:vAlign w:val="center"/>
          </w:tcPr>
          <w:p w14:paraId="3C4E74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金台区斗鸡中学实验楼建设项目</w:t>
            </w:r>
          </w:p>
        </w:tc>
        <w:tc>
          <w:tcPr>
            <w:tcW w:w="2040" w:type="pct"/>
            <w:shd w:val="clear" w:color="auto" w:fill="auto"/>
            <w:vAlign w:val="center"/>
          </w:tcPr>
          <w:p w14:paraId="52D84A1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新建斗鸡中学框架结构实验楼一栋，建筑面积7000平方米，配套建设附属设施等</w:t>
            </w:r>
          </w:p>
        </w:tc>
        <w:tc>
          <w:tcPr>
            <w:tcW w:w="460" w:type="pct"/>
            <w:shd w:val="clear" w:color="auto" w:fill="auto"/>
            <w:vAlign w:val="center"/>
          </w:tcPr>
          <w:p w14:paraId="594BD8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斗中路</w:t>
            </w:r>
          </w:p>
        </w:tc>
        <w:tc>
          <w:tcPr>
            <w:tcW w:w="374" w:type="pct"/>
            <w:shd w:val="clear" w:color="auto" w:fill="auto"/>
            <w:vAlign w:val="center"/>
          </w:tcPr>
          <w:p w14:paraId="03D58C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3A3CED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C1F78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40DE7B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DC435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6BA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trPr>
        <w:tc>
          <w:tcPr>
            <w:tcW w:w="225" w:type="pct"/>
            <w:shd w:val="clear" w:color="auto" w:fill="auto"/>
            <w:vAlign w:val="center"/>
          </w:tcPr>
          <w:p w14:paraId="2D8D65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196</w:t>
            </w:r>
          </w:p>
        </w:tc>
        <w:tc>
          <w:tcPr>
            <w:tcW w:w="490" w:type="pct"/>
            <w:shd w:val="clear" w:color="auto" w:fill="auto"/>
            <w:vAlign w:val="center"/>
          </w:tcPr>
          <w:p w14:paraId="4926C2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金台区卧龙寺中学实验综合楼建设项目</w:t>
            </w:r>
          </w:p>
        </w:tc>
        <w:tc>
          <w:tcPr>
            <w:tcW w:w="2040" w:type="pct"/>
            <w:shd w:val="clear" w:color="auto" w:fill="auto"/>
            <w:vAlign w:val="center"/>
          </w:tcPr>
          <w:p w14:paraId="04B5006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新建综合实验楼一栋，建筑面积约5000平方米。配套建设给排水、供电、供暖、消防、绿化、道路及监控系统等教学设施</w:t>
            </w:r>
          </w:p>
        </w:tc>
        <w:tc>
          <w:tcPr>
            <w:tcW w:w="460" w:type="pct"/>
            <w:shd w:val="clear" w:color="auto" w:fill="auto"/>
            <w:vAlign w:val="center"/>
          </w:tcPr>
          <w:p w14:paraId="485C8C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616121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BD1C6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517842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49CE32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EF3C7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7646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7C7D64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197</w:t>
            </w:r>
          </w:p>
        </w:tc>
        <w:tc>
          <w:tcPr>
            <w:tcW w:w="490" w:type="pct"/>
            <w:shd w:val="clear" w:color="auto" w:fill="auto"/>
            <w:vAlign w:val="center"/>
          </w:tcPr>
          <w:p w14:paraId="210EB864">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金台区金陵湾幼儿园建设项目</w:t>
            </w:r>
          </w:p>
        </w:tc>
        <w:tc>
          <w:tcPr>
            <w:tcW w:w="2040" w:type="pct"/>
            <w:shd w:val="clear" w:color="auto" w:fill="auto"/>
            <w:vAlign w:val="center"/>
          </w:tcPr>
          <w:p w14:paraId="6C0704E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新建框架结构教学综合楼一栋，建筑面积3000平方米，配套建设室外活动场、围墙、大门及门房等附属工程，购置教育现代化设施设备、幼儿活动器材、教学仪器设备、生活设施等</w:t>
            </w:r>
          </w:p>
        </w:tc>
        <w:tc>
          <w:tcPr>
            <w:tcW w:w="460" w:type="pct"/>
            <w:shd w:val="clear" w:color="auto" w:fill="auto"/>
            <w:vAlign w:val="center"/>
          </w:tcPr>
          <w:p w14:paraId="0CA254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宝平路金陵湾</w:t>
            </w:r>
          </w:p>
        </w:tc>
        <w:tc>
          <w:tcPr>
            <w:tcW w:w="374" w:type="pct"/>
            <w:shd w:val="clear" w:color="auto" w:fill="auto"/>
            <w:vAlign w:val="center"/>
          </w:tcPr>
          <w:p w14:paraId="220BF2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BE3C6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08AD7C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15D2B4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E1C21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62CAD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9" w:hRule="atLeast"/>
        </w:trPr>
        <w:tc>
          <w:tcPr>
            <w:tcW w:w="225" w:type="pct"/>
            <w:shd w:val="clear" w:color="auto" w:fill="auto"/>
            <w:vAlign w:val="center"/>
          </w:tcPr>
          <w:p w14:paraId="208624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198</w:t>
            </w:r>
          </w:p>
        </w:tc>
        <w:tc>
          <w:tcPr>
            <w:tcW w:w="490" w:type="pct"/>
            <w:shd w:val="clear" w:color="auto" w:fill="auto"/>
            <w:vAlign w:val="center"/>
          </w:tcPr>
          <w:p w14:paraId="532223A9">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金台区龙丰苑幼儿园建设项目</w:t>
            </w:r>
          </w:p>
        </w:tc>
        <w:tc>
          <w:tcPr>
            <w:tcW w:w="2040" w:type="pct"/>
            <w:shd w:val="clear" w:color="auto" w:fill="auto"/>
            <w:vAlign w:val="center"/>
          </w:tcPr>
          <w:p w14:paraId="5111658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新建框架结构教学综合楼一栋，建筑面积2800万平方米，配套建设室外活动场、围墙、大门及门房等附属工程，购置教育现代化设施设备、幼儿活动器材、教学仪器设备、生活设施等</w:t>
            </w:r>
          </w:p>
        </w:tc>
        <w:tc>
          <w:tcPr>
            <w:tcW w:w="460" w:type="pct"/>
            <w:shd w:val="clear" w:color="auto" w:fill="auto"/>
            <w:vAlign w:val="center"/>
          </w:tcPr>
          <w:p w14:paraId="5EB5A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425008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A8E0B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77" w:type="pct"/>
            <w:shd w:val="clear" w:color="auto" w:fill="auto"/>
            <w:vAlign w:val="center"/>
          </w:tcPr>
          <w:p w14:paraId="2B65C3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0.16</w:t>
            </w:r>
          </w:p>
        </w:tc>
        <w:tc>
          <w:tcPr>
            <w:tcW w:w="319" w:type="pct"/>
            <w:shd w:val="clear" w:color="auto" w:fill="auto"/>
            <w:vAlign w:val="center"/>
          </w:tcPr>
          <w:p w14:paraId="35BA96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33089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756BE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8" w:hRule="atLeast"/>
        </w:trPr>
        <w:tc>
          <w:tcPr>
            <w:tcW w:w="225" w:type="pct"/>
            <w:shd w:val="clear" w:color="auto" w:fill="auto"/>
            <w:vAlign w:val="center"/>
          </w:tcPr>
          <w:p w14:paraId="220991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199</w:t>
            </w:r>
          </w:p>
        </w:tc>
        <w:tc>
          <w:tcPr>
            <w:tcW w:w="490" w:type="pct"/>
            <w:shd w:val="clear" w:color="auto" w:fill="auto"/>
            <w:vAlign w:val="center"/>
          </w:tcPr>
          <w:p w14:paraId="06734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金台区行政中心幼儿园建设项目</w:t>
            </w:r>
          </w:p>
        </w:tc>
        <w:tc>
          <w:tcPr>
            <w:tcW w:w="2040" w:type="pct"/>
            <w:shd w:val="clear" w:color="auto" w:fill="auto"/>
            <w:vAlign w:val="center"/>
          </w:tcPr>
          <w:p w14:paraId="65EBBF0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新建框架结构教学综合楼一栋，建筑面积5000万平方米，配套建设室外活动场、围墙、大门及门房等附属工程，购置教育现代化设施设备、幼儿活动器材、教学仪器设备、生活设施等</w:t>
            </w:r>
          </w:p>
        </w:tc>
        <w:tc>
          <w:tcPr>
            <w:tcW w:w="460" w:type="pct"/>
            <w:shd w:val="clear" w:color="auto" w:fill="auto"/>
            <w:vAlign w:val="center"/>
          </w:tcPr>
          <w:p w14:paraId="0333BC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73C217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36C45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77" w:type="pct"/>
            <w:shd w:val="clear" w:color="auto" w:fill="auto"/>
            <w:vAlign w:val="center"/>
          </w:tcPr>
          <w:p w14:paraId="3B2A9E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w:t>
            </w:r>
          </w:p>
        </w:tc>
        <w:tc>
          <w:tcPr>
            <w:tcW w:w="319" w:type="pct"/>
            <w:shd w:val="clear" w:color="auto" w:fill="auto"/>
            <w:vAlign w:val="center"/>
          </w:tcPr>
          <w:p w14:paraId="23723F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42AB5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661F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61" w:hRule="atLeast"/>
        </w:trPr>
        <w:tc>
          <w:tcPr>
            <w:tcW w:w="225" w:type="pct"/>
            <w:shd w:val="clear" w:color="auto" w:fill="auto"/>
            <w:vAlign w:val="center"/>
          </w:tcPr>
          <w:p w14:paraId="407C86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200</w:t>
            </w:r>
          </w:p>
        </w:tc>
        <w:tc>
          <w:tcPr>
            <w:tcW w:w="490" w:type="pct"/>
            <w:shd w:val="clear" w:color="auto" w:fill="auto"/>
            <w:vAlign w:val="center"/>
          </w:tcPr>
          <w:p w14:paraId="09F6CA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金台区宝平路幼儿园建设项目</w:t>
            </w:r>
          </w:p>
        </w:tc>
        <w:tc>
          <w:tcPr>
            <w:tcW w:w="2040" w:type="pct"/>
            <w:shd w:val="clear" w:color="auto" w:fill="auto"/>
            <w:vAlign w:val="center"/>
          </w:tcPr>
          <w:p w14:paraId="2E9A2A9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新建框架结构教学综合楼一栋，建筑面积3600万平方米，配套建设室外活动场、围墙、大门及门房等附属工程，购置教育现代化设施设备、幼儿活动器材、教学仪器设备、生活设施等</w:t>
            </w:r>
          </w:p>
        </w:tc>
        <w:tc>
          <w:tcPr>
            <w:tcW w:w="460" w:type="pct"/>
            <w:shd w:val="clear" w:color="auto" w:fill="auto"/>
            <w:vAlign w:val="center"/>
          </w:tcPr>
          <w:p w14:paraId="7E46A8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310140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A5588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0CDF83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7999F3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579B7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08FC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9" w:hRule="atLeast"/>
        </w:trPr>
        <w:tc>
          <w:tcPr>
            <w:tcW w:w="225" w:type="pct"/>
            <w:shd w:val="clear" w:color="auto" w:fill="auto"/>
            <w:vAlign w:val="center"/>
          </w:tcPr>
          <w:p w14:paraId="1EDCE2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w:t>
            </w:r>
          </w:p>
        </w:tc>
        <w:tc>
          <w:tcPr>
            <w:tcW w:w="490" w:type="pct"/>
            <w:shd w:val="clear" w:color="auto" w:fill="auto"/>
            <w:vAlign w:val="center"/>
          </w:tcPr>
          <w:p w14:paraId="7E2C81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金台区福临堡幼儿园建设项目</w:t>
            </w:r>
          </w:p>
        </w:tc>
        <w:tc>
          <w:tcPr>
            <w:tcW w:w="2040" w:type="pct"/>
            <w:shd w:val="clear" w:color="auto" w:fill="auto"/>
            <w:vAlign w:val="center"/>
          </w:tcPr>
          <w:p w14:paraId="33B5D09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总建筑面积9500平方米，新建五层框架结构教学综合楼一栋，购置安装教学设施设备；配套建设门房、晨检室、换热站、泵房及室外活动场地、绿化、围墙、大门、地下管网等设施</w:t>
            </w:r>
          </w:p>
        </w:tc>
        <w:tc>
          <w:tcPr>
            <w:tcW w:w="460" w:type="pct"/>
            <w:shd w:val="clear" w:color="auto" w:fill="auto"/>
            <w:vAlign w:val="center"/>
          </w:tcPr>
          <w:p w14:paraId="78F27D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福临堡</w:t>
            </w:r>
          </w:p>
        </w:tc>
        <w:tc>
          <w:tcPr>
            <w:tcW w:w="374" w:type="pct"/>
            <w:shd w:val="clear" w:color="auto" w:fill="auto"/>
            <w:vAlign w:val="center"/>
          </w:tcPr>
          <w:p w14:paraId="0D3533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D0112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77" w:type="pct"/>
            <w:shd w:val="clear" w:color="auto" w:fill="auto"/>
            <w:vAlign w:val="center"/>
          </w:tcPr>
          <w:p w14:paraId="40C577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0.74</w:t>
            </w:r>
          </w:p>
        </w:tc>
        <w:tc>
          <w:tcPr>
            <w:tcW w:w="319" w:type="pct"/>
            <w:shd w:val="clear" w:color="auto" w:fill="auto"/>
            <w:vAlign w:val="center"/>
          </w:tcPr>
          <w:p w14:paraId="3C3936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BF5FF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29A54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9" w:hRule="atLeast"/>
        </w:trPr>
        <w:tc>
          <w:tcPr>
            <w:tcW w:w="225" w:type="pct"/>
            <w:shd w:val="clear" w:color="auto" w:fill="auto"/>
            <w:vAlign w:val="center"/>
          </w:tcPr>
          <w:p w14:paraId="10CB51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w:t>
            </w:r>
          </w:p>
        </w:tc>
        <w:tc>
          <w:tcPr>
            <w:tcW w:w="490" w:type="pct"/>
            <w:shd w:val="clear" w:color="auto" w:fill="auto"/>
            <w:vAlign w:val="center"/>
          </w:tcPr>
          <w:p w14:paraId="1E4DB5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蟠龙新区第一幼儿园</w:t>
            </w:r>
          </w:p>
        </w:tc>
        <w:tc>
          <w:tcPr>
            <w:tcW w:w="2040" w:type="pct"/>
            <w:shd w:val="clear" w:color="auto" w:fill="auto"/>
            <w:vAlign w:val="center"/>
          </w:tcPr>
          <w:p w14:paraId="1A7217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总建筑面积4636.6平方米，规划18个教学班，可容纳540名幼儿；主要建设幼儿园保教楼、室外活动场地等工作；同时配套建设给排水、供电、照明、消防、通信、监控及采暖通风等</w:t>
            </w:r>
          </w:p>
        </w:tc>
        <w:tc>
          <w:tcPr>
            <w:tcW w:w="460" w:type="pct"/>
            <w:shd w:val="clear" w:color="auto" w:fill="auto"/>
            <w:vAlign w:val="center"/>
          </w:tcPr>
          <w:p w14:paraId="63F9F1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8CB16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EC610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704AA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EB14B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F6942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E84F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1" w:hRule="atLeast"/>
        </w:trPr>
        <w:tc>
          <w:tcPr>
            <w:tcW w:w="225" w:type="pct"/>
            <w:shd w:val="clear" w:color="auto" w:fill="auto"/>
            <w:vAlign w:val="center"/>
          </w:tcPr>
          <w:p w14:paraId="4DAC47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203</w:t>
            </w:r>
          </w:p>
        </w:tc>
        <w:tc>
          <w:tcPr>
            <w:tcW w:w="490" w:type="pct"/>
            <w:shd w:val="clear" w:color="auto" w:fill="auto"/>
            <w:vAlign w:val="center"/>
          </w:tcPr>
          <w:p w14:paraId="712539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蟠龙新区第二幼儿园</w:t>
            </w:r>
          </w:p>
        </w:tc>
        <w:tc>
          <w:tcPr>
            <w:tcW w:w="2040" w:type="pct"/>
            <w:shd w:val="clear" w:color="auto" w:fill="auto"/>
            <w:vAlign w:val="center"/>
          </w:tcPr>
          <w:p w14:paraId="79D490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总建筑面积6642平方米，规划12个教学班，可容纳480名幼儿；主要建设内容包括幼儿园保教楼、室外活动场地等工作；同时配套建设给排水、供电、照明、消防、通信、监控及采暖通风等</w:t>
            </w:r>
          </w:p>
        </w:tc>
        <w:tc>
          <w:tcPr>
            <w:tcW w:w="460" w:type="pct"/>
            <w:shd w:val="clear" w:color="auto" w:fill="auto"/>
            <w:vAlign w:val="center"/>
          </w:tcPr>
          <w:p w14:paraId="6B3872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02D0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E6C90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7F3A2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1E8E3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7DC10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6EB64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7" w:hRule="atLeast"/>
        </w:trPr>
        <w:tc>
          <w:tcPr>
            <w:tcW w:w="225" w:type="pct"/>
            <w:shd w:val="clear" w:color="auto" w:fill="auto"/>
            <w:vAlign w:val="center"/>
          </w:tcPr>
          <w:p w14:paraId="692E53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204</w:t>
            </w:r>
          </w:p>
        </w:tc>
        <w:tc>
          <w:tcPr>
            <w:tcW w:w="490" w:type="pct"/>
            <w:shd w:val="clear" w:color="auto" w:fill="auto"/>
            <w:vAlign w:val="center"/>
          </w:tcPr>
          <w:p w14:paraId="6D6DAD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蟠龙新区第三幼儿园</w:t>
            </w:r>
          </w:p>
        </w:tc>
        <w:tc>
          <w:tcPr>
            <w:tcW w:w="2040" w:type="pct"/>
            <w:shd w:val="clear" w:color="auto" w:fill="auto"/>
            <w:vAlign w:val="center"/>
          </w:tcPr>
          <w:p w14:paraId="4C9148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总建筑面积5000平方米，规划12个教学班，可容纳360名幼儿；主要建设幼儿园保教楼、室外活动场地等工作；同时配套建设给排水、供电、照明、消防、通信、监控及采暖通风等</w:t>
            </w:r>
          </w:p>
        </w:tc>
        <w:tc>
          <w:tcPr>
            <w:tcW w:w="460" w:type="pct"/>
            <w:shd w:val="clear" w:color="auto" w:fill="auto"/>
            <w:vAlign w:val="center"/>
          </w:tcPr>
          <w:p w14:paraId="6480C9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414E2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71C748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C9C81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67768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5ACBA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D51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1626DE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205</w:t>
            </w:r>
          </w:p>
        </w:tc>
        <w:tc>
          <w:tcPr>
            <w:tcW w:w="490" w:type="pct"/>
            <w:shd w:val="clear" w:color="auto" w:fill="auto"/>
            <w:vAlign w:val="center"/>
          </w:tcPr>
          <w:p w14:paraId="4472EC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蟠龙新区第四幼儿园</w:t>
            </w:r>
          </w:p>
        </w:tc>
        <w:tc>
          <w:tcPr>
            <w:tcW w:w="2040" w:type="pct"/>
            <w:shd w:val="clear" w:color="auto" w:fill="auto"/>
            <w:vAlign w:val="center"/>
          </w:tcPr>
          <w:p w14:paraId="513B696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总建筑面积5200平方米，规划14个教学班，可容纳420名幼儿；主要建设幼儿园保教楼、室外活动场地等工作；同时配套建设给排水、供电、照明、消防、通信、监控及采暖通风等</w:t>
            </w:r>
          </w:p>
        </w:tc>
        <w:tc>
          <w:tcPr>
            <w:tcW w:w="460" w:type="pct"/>
            <w:shd w:val="clear" w:color="auto" w:fill="auto"/>
            <w:vAlign w:val="center"/>
          </w:tcPr>
          <w:p w14:paraId="0958EB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C8481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116FFF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8C610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48C6E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168D5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20EE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4" w:hRule="atLeast"/>
        </w:trPr>
        <w:tc>
          <w:tcPr>
            <w:tcW w:w="225" w:type="pct"/>
            <w:shd w:val="clear" w:color="auto" w:fill="auto"/>
            <w:vAlign w:val="center"/>
          </w:tcPr>
          <w:p w14:paraId="040C12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206</w:t>
            </w:r>
          </w:p>
        </w:tc>
        <w:tc>
          <w:tcPr>
            <w:tcW w:w="490" w:type="pct"/>
            <w:shd w:val="clear" w:color="auto" w:fill="auto"/>
            <w:vAlign w:val="center"/>
          </w:tcPr>
          <w:p w14:paraId="13A4B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蟠龙新区第五幼儿园</w:t>
            </w:r>
          </w:p>
        </w:tc>
        <w:tc>
          <w:tcPr>
            <w:tcW w:w="2040" w:type="pct"/>
            <w:shd w:val="clear" w:color="auto" w:fill="auto"/>
            <w:vAlign w:val="center"/>
          </w:tcPr>
          <w:p w14:paraId="561C15A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总建筑面积4800平方米，规划10个教学班，可容纳300名幼儿；主要建设幼儿园保教楼、室外活动场地等工作；同时配套建设给排水、供电、照明、消防、通信、监控及采暖通风等工程</w:t>
            </w:r>
          </w:p>
        </w:tc>
        <w:tc>
          <w:tcPr>
            <w:tcW w:w="460" w:type="pct"/>
            <w:shd w:val="clear" w:color="auto" w:fill="auto"/>
            <w:vAlign w:val="center"/>
          </w:tcPr>
          <w:p w14:paraId="79DB5C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C149D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1FFE83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2CC967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01E5E5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1E00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EDBD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30" w:hRule="atLeast"/>
        </w:trPr>
        <w:tc>
          <w:tcPr>
            <w:tcW w:w="225" w:type="pct"/>
            <w:shd w:val="clear" w:color="auto" w:fill="auto"/>
            <w:vAlign w:val="center"/>
          </w:tcPr>
          <w:p w14:paraId="437421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207</w:t>
            </w:r>
          </w:p>
        </w:tc>
        <w:tc>
          <w:tcPr>
            <w:tcW w:w="490" w:type="pct"/>
            <w:shd w:val="clear" w:color="auto" w:fill="auto"/>
            <w:vAlign w:val="center"/>
          </w:tcPr>
          <w:p w14:paraId="7725A6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金台区职业教育中心新校区建设项目</w:t>
            </w:r>
          </w:p>
        </w:tc>
        <w:tc>
          <w:tcPr>
            <w:tcW w:w="2040" w:type="pct"/>
            <w:shd w:val="clear" w:color="auto" w:fill="auto"/>
            <w:vAlign w:val="center"/>
          </w:tcPr>
          <w:p w14:paraId="13BFAB4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新征土地100亩，新建实训综合楼、教学综合楼、公寓楼、人工智能和工业机器人等实训车间、餐厅、多功能厅等约4万平方米，新建操场3</w:t>
            </w:r>
            <w:r>
              <w:rPr>
                <w:rFonts w:hint="eastAsia" w:ascii="仿宋_GB2312" w:hAnsi="宋体" w:eastAsia="仿宋_GB2312" w:cs="宋体"/>
                <w:kern w:val="0"/>
                <w:sz w:val="20"/>
                <w:szCs w:val="20"/>
                <w:lang w:eastAsia="zh-CN"/>
              </w:rPr>
              <w:t>万平方米</w:t>
            </w:r>
            <w:r>
              <w:rPr>
                <w:rFonts w:hint="eastAsia" w:ascii="仿宋_GB2312" w:hAnsi="宋体" w:eastAsia="仿宋_GB2312" w:cs="宋体"/>
                <w:kern w:val="0"/>
                <w:sz w:val="20"/>
                <w:szCs w:val="20"/>
              </w:rPr>
              <w:t>，购置教育现代化设施设备、实训、教学仪器设备等</w:t>
            </w:r>
          </w:p>
        </w:tc>
        <w:tc>
          <w:tcPr>
            <w:tcW w:w="460" w:type="pct"/>
            <w:shd w:val="clear" w:color="auto" w:fill="auto"/>
            <w:vAlign w:val="center"/>
          </w:tcPr>
          <w:p w14:paraId="5685E0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79A06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C6C7A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77" w:type="pct"/>
            <w:shd w:val="clear" w:color="auto" w:fill="auto"/>
            <w:vAlign w:val="center"/>
          </w:tcPr>
          <w:p w14:paraId="0F108C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009BC8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140FD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39C41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90" w:hRule="atLeast"/>
        </w:trPr>
        <w:tc>
          <w:tcPr>
            <w:tcW w:w="225" w:type="pct"/>
            <w:shd w:val="clear" w:color="auto" w:fill="auto"/>
            <w:vAlign w:val="center"/>
          </w:tcPr>
          <w:p w14:paraId="75DA05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208</w:t>
            </w:r>
          </w:p>
        </w:tc>
        <w:tc>
          <w:tcPr>
            <w:tcW w:w="490" w:type="pct"/>
            <w:shd w:val="clear" w:color="auto" w:fill="auto"/>
            <w:vAlign w:val="center"/>
          </w:tcPr>
          <w:p w14:paraId="4DC947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蟠龙教育大厦项目</w:t>
            </w:r>
          </w:p>
        </w:tc>
        <w:tc>
          <w:tcPr>
            <w:tcW w:w="2040" w:type="pct"/>
            <w:shd w:val="clear" w:color="auto" w:fill="auto"/>
            <w:vAlign w:val="center"/>
          </w:tcPr>
          <w:p w14:paraId="3B6F077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总建筑面积10万平方米，引入教育培训机构、教育软件与研发、教育直播平台等</w:t>
            </w:r>
          </w:p>
        </w:tc>
        <w:tc>
          <w:tcPr>
            <w:tcW w:w="460" w:type="pct"/>
            <w:shd w:val="clear" w:color="auto" w:fill="auto"/>
            <w:vAlign w:val="center"/>
          </w:tcPr>
          <w:p w14:paraId="0DB104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03137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3D5504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77" w:type="pct"/>
            <w:shd w:val="clear" w:color="auto" w:fill="auto"/>
            <w:vAlign w:val="center"/>
          </w:tcPr>
          <w:p w14:paraId="7BE6B2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4 </w:t>
            </w:r>
          </w:p>
        </w:tc>
        <w:tc>
          <w:tcPr>
            <w:tcW w:w="319" w:type="pct"/>
            <w:shd w:val="clear" w:color="auto" w:fill="auto"/>
            <w:vAlign w:val="center"/>
          </w:tcPr>
          <w:p w14:paraId="20E42B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4DDD2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p w14:paraId="7A0A2E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管委会</w:t>
            </w:r>
          </w:p>
        </w:tc>
      </w:tr>
      <w:tr w14:paraId="6E230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42E72D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209</w:t>
            </w:r>
          </w:p>
        </w:tc>
        <w:tc>
          <w:tcPr>
            <w:tcW w:w="490" w:type="pct"/>
            <w:shd w:val="clear" w:color="auto" w:fill="auto"/>
            <w:vAlign w:val="center"/>
          </w:tcPr>
          <w:p w14:paraId="517135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金台区蟠龙国际双语学校</w:t>
            </w:r>
          </w:p>
        </w:tc>
        <w:tc>
          <w:tcPr>
            <w:tcW w:w="2040" w:type="pct"/>
            <w:shd w:val="clear" w:color="auto" w:fill="auto"/>
            <w:vAlign w:val="center"/>
          </w:tcPr>
          <w:p w14:paraId="2CCDC3E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占地300亩，建设国际双语幼儿园、小学、初中、高中等。主要建设教学楼、实验楼、综合楼、公寓楼、标准化运动场、风雨操场、绿化等工作；同时配套建设给排水、供电、照明、消防、通信、监控及采暖通风等工程</w:t>
            </w:r>
          </w:p>
        </w:tc>
        <w:tc>
          <w:tcPr>
            <w:tcW w:w="460" w:type="pct"/>
            <w:shd w:val="clear" w:color="auto" w:fill="auto"/>
            <w:vAlign w:val="center"/>
          </w:tcPr>
          <w:p w14:paraId="2782A6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35002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27680A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6B48F1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37B8C7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B6EE8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35FB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1" w:hRule="atLeast"/>
        </w:trPr>
        <w:tc>
          <w:tcPr>
            <w:tcW w:w="225" w:type="pct"/>
            <w:shd w:val="clear" w:color="auto" w:fill="auto"/>
            <w:vAlign w:val="center"/>
          </w:tcPr>
          <w:p w14:paraId="0748F5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210</w:t>
            </w:r>
          </w:p>
        </w:tc>
        <w:tc>
          <w:tcPr>
            <w:tcW w:w="490" w:type="pct"/>
            <w:shd w:val="clear" w:color="auto" w:fill="auto"/>
            <w:vAlign w:val="center"/>
          </w:tcPr>
          <w:p w14:paraId="7CD098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蟠龙新区陕西机电职业技术学院迁建项目</w:t>
            </w:r>
          </w:p>
        </w:tc>
        <w:tc>
          <w:tcPr>
            <w:tcW w:w="2040" w:type="pct"/>
            <w:shd w:val="clear" w:color="auto" w:fill="auto"/>
            <w:vAlign w:val="center"/>
          </w:tcPr>
          <w:p w14:paraId="2024801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占地855亩，新建教学楼、行政楼、田径运动场、室内体育馆、餐厅、学生宿舍等</w:t>
            </w:r>
          </w:p>
        </w:tc>
        <w:tc>
          <w:tcPr>
            <w:tcW w:w="460" w:type="pct"/>
            <w:shd w:val="clear" w:color="auto" w:fill="auto"/>
            <w:vAlign w:val="center"/>
          </w:tcPr>
          <w:p w14:paraId="6D30B7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D2062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0516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014498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612A69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279A0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6BE7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05BC06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211</w:t>
            </w:r>
          </w:p>
        </w:tc>
        <w:tc>
          <w:tcPr>
            <w:tcW w:w="490" w:type="pct"/>
            <w:shd w:val="clear" w:color="auto" w:fill="auto"/>
            <w:vAlign w:val="center"/>
          </w:tcPr>
          <w:p w14:paraId="6635D8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蟠龙新区职业技能实训中心</w:t>
            </w:r>
          </w:p>
        </w:tc>
        <w:tc>
          <w:tcPr>
            <w:tcW w:w="2040" w:type="pct"/>
            <w:shd w:val="clear" w:color="auto" w:fill="auto"/>
            <w:vAlign w:val="center"/>
          </w:tcPr>
          <w:p w14:paraId="0DE4E6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建筑面积1万平方米，依托陕西机电等专职院校，建设包含赛前指导，赛前培训，实训场地在内的职业技能培训中心，配套建设宿舍楼</w:t>
            </w:r>
          </w:p>
        </w:tc>
        <w:tc>
          <w:tcPr>
            <w:tcW w:w="460" w:type="pct"/>
            <w:shd w:val="clear" w:color="auto" w:fill="auto"/>
            <w:vAlign w:val="center"/>
          </w:tcPr>
          <w:p w14:paraId="356C49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22D8F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C0DDC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23C18F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8D6BA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FE808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4AD5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55" w:hRule="atLeast"/>
        </w:trPr>
        <w:tc>
          <w:tcPr>
            <w:tcW w:w="225" w:type="pct"/>
            <w:shd w:val="clear" w:color="auto" w:fill="auto"/>
            <w:vAlign w:val="center"/>
          </w:tcPr>
          <w:p w14:paraId="6FC00A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212</w:t>
            </w:r>
          </w:p>
        </w:tc>
        <w:tc>
          <w:tcPr>
            <w:tcW w:w="490" w:type="pct"/>
            <w:shd w:val="clear" w:color="auto" w:fill="auto"/>
            <w:vAlign w:val="center"/>
          </w:tcPr>
          <w:p w14:paraId="5FAD44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宝鸡文理学院科技创新园暨新校区（一期）项目</w:t>
            </w:r>
          </w:p>
        </w:tc>
        <w:tc>
          <w:tcPr>
            <w:tcW w:w="2040" w:type="pct"/>
            <w:shd w:val="clear" w:color="auto" w:fill="auto"/>
            <w:vAlign w:val="center"/>
          </w:tcPr>
          <w:p w14:paraId="0162FB5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占地1703亩，建筑面积65.62万平方米，其中，科技创新园约15.63万平方米，新校区约49.99万平方米。建设工科教学楼、学生食堂、宿舍楼、实训中心、后勤楼、运动场、校医院等</w:t>
            </w:r>
          </w:p>
        </w:tc>
        <w:tc>
          <w:tcPr>
            <w:tcW w:w="460" w:type="pct"/>
            <w:shd w:val="clear" w:color="auto" w:fill="auto"/>
            <w:vAlign w:val="center"/>
          </w:tcPr>
          <w:p w14:paraId="486341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7748C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4FAAEA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w:t>
            </w:r>
          </w:p>
        </w:tc>
        <w:tc>
          <w:tcPr>
            <w:tcW w:w="377" w:type="pct"/>
            <w:shd w:val="clear" w:color="auto" w:fill="auto"/>
            <w:vAlign w:val="center"/>
          </w:tcPr>
          <w:p w14:paraId="4A6A48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16EB4C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30458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765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3" w:hRule="atLeast"/>
        </w:trPr>
        <w:tc>
          <w:tcPr>
            <w:tcW w:w="225" w:type="pct"/>
            <w:shd w:val="clear" w:color="auto" w:fill="auto"/>
            <w:vAlign w:val="center"/>
          </w:tcPr>
          <w:p w14:paraId="66051C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213</w:t>
            </w:r>
          </w:p>
        </w:tc>
        <w:tc>
          <w:tcPr>
            <w:tcW w:w="490" w:type="pct"/>
            <w:shd w:val="clear" w:color="auto" w:fill="auto"/>
            <w:vAlign w:val="center"/>
          </w:tcPr>
          <w:p w14:paraId="128FF4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陕西师范大学蟠龙实验学校</w:t>
            </w:r>
          </w:p>
        </w:tc>
        <w:tc>
          <w:tcPr>
            <w:tcW w:w="2040" w:type="pct"/>
            <w:shd w:val="clear" w:color="auto" w:fill="auto"/>
            <w:vAlign w:val="center"/>
          </w:tcPr>
          <w:p w14:paraId="4B21FF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占地100亩，总建筑面积2.8万平方米，学校设小学部和初中部。建设校舍、运动场、风雨操场外，餐厅、宿舍、综合报告厅等</w:t>
            </w:r>
          </w:p>
        </w:tc>
        <w:tc>
          <w:tcPr>
            <w:tcW w:w="460" w:type="pct"/>
            <w:shd w:val="clear" w:color="auto" w:fill="auto"/>
            <w:vAlign w:val="center"/>
          </w:tcPr>
          <w:p w14:paraId="3E42CC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EE2F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BE283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06512F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B1746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8F960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45A5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70" w:hRule="atLeast"/>
        </w:trPr>
        <w:tc>
          <w:tcPr>
            <w:tcW w:w="225" w:type="pct"/>
            <w:shd w:val="clear" w:color="auto" w:fill="auto"/>
            <w:vAlign w:val="center"/>
          </w:tcPr>
          <w:p w14:paraId="31ACC8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214</w:t>
            </w:r>
          </w:p>
        </w:tc>
        <w:tc>
          <w:tcPr>
            <w:tcW w:w="490" w:type="pct"/>
            <w:shd w:val="clear" w:color="auto" w:fill="auto"/>
            <w:vAlign w:val="center"/>
          </w:tcPr>
          <w:p w14:paraId="4C1E95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北京师范大学宝鸡实验学校</w:t>
            </w:r>
          </w:p>
        </w:tc>
        <w:tc>
          <w:tcPr>
            <w:tcW w:w="2040" w:type="pct"/>
            <w:shd w:val="clear" w:color="auto" w:fill="auto"/>
            <w:vAlign w:val="center"/>
          </w:tcPr>
          <w:p w14:paraId="406C26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335.755亩（其中：小学、初级中学共占地142.755亩，高级中学占地193亩）；总建筑面积为10万平方米（其中：小学建筑面积1.5万平方米，初级中学建筑面积2.5万平方米，高级中学建筑面积6万平方米）。主要建设内容包括小学、初级中学及高级中学的教学楼、艺体楼、综合楼、公寓楼、标准化田径场及道路等配套设施</w:t>
            </w:r>
          </w:p>
        </w:tc>
        <w:tc>
          <w:tcPr>
            <w:tcW w:w="460" w:type="pct"/>
            <w:shd w:val="clear" w:color="auto" w:fill="auto"/>
            <w:vAlign w:val="center"/>
          </w:tcPr>
          <w:p w14:paraId="17A44A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C5EA0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323B15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4EC67A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5D318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C890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084D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1" w:hRule="atLeast"/>
        </w:trPr>
        <w:tc>
          <w:tcPr>
            <w:tcW w:w="225" w:type="pct"/>
            <w:shd w:val="clear" w:color="auto" w:fill="auto"/>
            <w:vAlign w:val="center"/>
          </w:tcPr>
          <w:p w14:paraId="7D60C2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215</w:t>
            </w:r>
          </w:p>
        </w:tc>
        <w:tc>
          <w:tcPr>
            <w:tcW w:w="490" w:type="pct"/>
            <w:shd w:val="clear" w:color="auto" w:fill="auto"/>
            <w:vAlign w:val="center"/>
          </w:tcPr>
          <w:p w14:paraId="310400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新希望中学二期建设项目</w:t>
            </w:r>
          </w:p>
        </w:tc>
        <w:tc>
          <w:tcPr>
            <w:tcW w:w="2040" w:type="pct"/>
            <w:shd w:val="clear" w:color="auto" w:fill="auto"/>
            <w:vAlign w:val="center"/>
          </w:tcPr>
          <w:p w14:paraId="22BC84A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建设教学楼、实验楼、餐厅、教师公寓楼各一栋，总建筑面积21500平方米；配套建设给排水、道路、绿化等附属设施</w:t>
            </w:r>
          </w:p>
        </w:tc>
        <w:tc>
          <w:tcPr>
            <w:tcW w:w="460" w:type="pct"/>
            <w:shd w:val="clear" w:color="auto" w:fill="auto"/>
            <w:vAlign w:val="center"/>
          </w:tcPr>
          <w:p w14:paraId="71D611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E4A1C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B859D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39D107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31AD70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671CAE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B22F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6E0C12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216</w:t>
            </w:r>
          </w:p>
        </w:tc>
        <w:tc>
          <w:tcPr>
            <w:tcW w:w="490" w:type="pct"/>
            <w:shd w:val="clear" w:color="auto" w:fill="auto"/>
            <w:vAlign w:val="center"/>
          </w:tcPr>
          <w:p w14:paraId="3976F8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蟠龙新区就业和保障服务中心建设项目</w:t>
            </w:r>
          </w:p>
        </w:tc>
        <w:tc>
          <w:tcPr>
            <w:tcW w:w="2040" w:type="pct"/>
            <w:shd w:val="clear" w:color="auto" w:fill="auto"/>
            <w:vAlign w:val="center"/>
          </w:tcPr>
          <w:p w14:paraId="79195F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新建就业和保障服务中心大楼1座，建筑面积为6000平方米，配套建设道路硬化、给排水、暖通、电力和绿化等</w:t>
            </w:r>
          </w:p>
        </w:tc>
        <w:tc>
          <w:tcPr>
            <w:tcW w:w="460" w:type="pct"/>
            <w:shd w:val="clear" w:color="auto" w:fill="auto"/>
            <w:vAlign w:val="center"/>
          </w:tcPr>
          <w:p w14:paraId="43D050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D3722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3EC423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56BF28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5815F4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936B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区人社局</w:t>
            </w:r>
          </w:p>
        </w:tc>
      </w:tr>
      <w:tr w14:paraId="17948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7944D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217</w:t>
            </w:r>
          </w:p>
        </w:tc>
        <w:tc>
          <w:tcPr>
            <w:tcW w:w="490" w:type="pct"/>
            <w:shd w:val="clear" w:color="auto" w:fill="auto"/>
            <w:vAlign w:val="center"/>
          </w:tcPr>
          <w:p w14:paraId="51F46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宝鸡文德中学扩建项目</w:t>
            </w:r>
          </w:p>
        </w:tc>
        <w:tc>
          <w:tcPr>
            <w:tcW w:w="2040" w:type="pct"/>
            <w:shd w:val="clear" w:color="auto" w:fill="auto"/>
            <w:vAlign w:val="center"/>
          </w:tcPr>
          <w:p w14:paraId="6379980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总建筑面积5万平方米，新建五层教学楼两栋，六层学生公寓两栋，十层综合实验楼一栋，两层艺术楼一栋，四层后勤楼一栋，标准足球场一个</w:t>
            </w:r>
          </w:p>
        </w:tc>
        <w:tc>
          <w:tcPr>
            <w:tcW w:w="460" w:type="pct"/>
            <w:shd w:val="clear" w:color="auto" w:fill="auto"/>
            <w:vAlign w:val="center"/>
          </w:tcPr>
          <w:p w14:paraId="3399B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115059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1C24E3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48A355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7FAE2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152E7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区教体局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6B803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609D4C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711E277E">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卫生（1</w:t>
            </w:r>
            <w:r>
              <w:rPr>
                <w:rFonts w:ascii="楷体_GB2312" w:hAnsi="楷体_GB2312" w:eastAsia="楷体_GB2312" w:cs="楷体_GB2312"/>
                <w:b/>
                <w:bCs/>
                <w:kern w:val="0"/>
                <w:sz w:val="20"/>
                <w:szCs w:val="20"/>
              </w:rPr>
              <w:t>1</w:t>
            </w:r>
            <w:r>
              <w:rPr>
                <w:rFonts w:hint="eastAsia" w:ascii="楷体_GB2312" w:hAnsi="楷体_GB2312" w:eastAsia="楷体_GB2312" w:cs="楷体_GB2312"/>
                <w:b/>
                <w:bCs/>
                <w:kern w:val="0"/>
                <w:sz w:val="20"/>
                <w:szCs w:val="20"/>
              </w:rPr>
              <w:t>）</w:t>
            </w:r>
          </w:p>
        </w:tc>
        <w:tc>
          <w:tcPr>
            <w:tcW w:w="2040" w:type="pct"/>
            <w:shd w:val="clear" w:color="auto" w:fill="auto"/>
            <w:vAlign w:val="center"/>
          </w:tcPr>
          <w:p w14:paraId="00E6770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7706C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92AEA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1A73200A">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30</w:t>
            </w:r>
            <w:r>
              <w:rPr>
                <w:rFonts w:hint="eastAsia" w:ascii="仿宋_GB2312" w:hAnsi="宋体" w:eastAsia="仿宋_GB2312" w:cs="宋体"/>
                <w:kern w:val="0"/>
                <w:sz w:val="20"/>
                <w:szCs w:val="20"/>
              </w:rPr>
              <w:t>.74</w:t>
            </w:r>
          </w:p>
        </w:tc>
        <w:tc>
          <w:tcPr>
            <w:tcW w:w="377" w:type="pct"/>
            <w:shd w:val="clear" w:color="auto" w:fill="auto"/>
            <w:vAlign w:val="center"/>
          </w:tcPr>
          <w:p w14:paraId="65691A5A">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27</w:t>
            </w:r>
            <w:r>
              <w:rPr>
                <w:rFonts w:hint="eastAsia" w:ascii="仿宋_GB2312" w:hAnsi="宋体" w:eastAsia="仿宋_GB2312" w:cs="宋体"/>
                <w:kern w:val="0"/>
                <w:sz w:val="20"/>
                <w:szCs w:val="20"/>
              </w:rPr>
              <w:t>.74</w:t>
            </w:r>
          </w:p>
        </w:tc>
        <w:tc>
          <w:tcPr>
            <w:tcW w:w="319" w:type="pct"/>
            <w:shd w:val="clear" w:color="auto" w:fill="auto"/>
            <w:vAlign w:val="center"/>
          </w:tcPr>
          <w:p w14:paraId="604B21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105C0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940E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33" w:hRule="atLeast"/>
        </w:trPr>
        <w:tc>
          <w:tcPr>
            <w:tcW w:w="225" w:type="pct"/>
            <w:shd w:val="clear" w:color="auto" w:fill="auto"/>
            <w:vAlign w:val="center"/>
          </w:tcPr>
          <w:p w14:paraId="2FD9EE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218</w:t>
            </w:r>
          </w:p>
        </w:tc>
        <w:tc>
          <w:tcPr>
            <w:tcW w:w="490" w:type="pct"/>
            <w:shd w:val="clear" w:color="auto" w:fill="auto"/>
            <w:vAlign w:val="center"/>
          </w:tcPr>
          <w:p w14:paraId="5ABB6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宝鸡市中医医院分院建设项目</w:t>
            </w:r>
          </w:p>
        </w:tc>
        <w:tc>
          <w:tcPr>
            <w:tcW w:w="2040" w:type="pct"/>
            <w:shd w:val="clear" w:color="auto" w:fill="auto"/>
            <w:vAlign w:val="center"/>
          </w:tcPr>
          <w:p w14:paraId="454C138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11.23万平方米，建设门急诊医技楼、骨外科住院楼、药剂楼、中医住院医师规范化培训实训楼、后勤保障楼及室外管网、场地道路硬化、污水处理等配套设施；建筑面积3.57万平方米，建设中医康复住院综合楼建设项目</w:t>
            </w:r>
          </w:p>
        </w:tc>
        <w:tc>
          <w:tcPr>
            <w:tcW w:w="460" w:type="pct"/>
            <w:shd w:val="clear" w:color="auto" w:fill="auto"/>
            <w:vAlign w:val="center"/>
          </w:tcPr>
          <w:p w14:paraId="5D9FB6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71287D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37A0A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11.2</w:t>
            </w:r>
          </w:p>
        </w:tc>
        <w:tc>
          <w:tcPr>
            <w:tcW w:w="377" w:type="pct"/>
            <w:shd w:val="clear" w:color="auto" w:fill="auto"/>
            <w:vAlign w:val="center"/>
          </w:tcPr>
          <w:p w14:paraId="5BFDB5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8.2</w:t>
            </w:r>
          </w:p>
        </w:tc>
        <w:tc>
          <w:tcPr>
            <w:tcW w:w="319" w:type="pct"/>
            <w:shd w:val="clear" w:color="auto" w:fill="auto"/>
            <w:vAlign w:val="center"/>
          </w:tcPr>
          <w:p w14:paraId="4E1FD8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5102E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5195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2B0D12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219</w:t>
            </w:r>
          </w:p>
        </w:tc>
        <w:tc>
          <w:tcPr>
            <w:tcW w:w="490" w:type="pct"/>
            <w:shd w:val="clear" w:color="auto" w:fill="auto"/>
            <w:vAlign w:val="center"/>
          </w:tcPr>
          <w:p w14:paraId="3D8146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宝鸡市第二人民医院综合楼、培训楼建设项目</w:t>
            </w:r>
          </w:p>
        </w:tc>
        <w:tc>
          <w:tcPr>
            <w:tcW w:w="2040" w:type="pct"/>
            <w:shd w:val="clear" w:color="auto" w:fill="auto"/>
            <w:vAlign w:val="center"/>
          </w:tcPr>
          <w:p w14:paraId="1AD764E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占地6000平方米，总建筑面积23000</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，新建综合楼、培训楼各一栋。配套建设给排水、通风、照明、热力、燃气、绿化等基础设施</w:t>
            </w:r>
          </w:p>
        </w:tc>
        <w:tc>
          <w:tcPr>
            <w:tcW w:w="460" w:type="pct"/>
            <w:shd w:val="clear" w:color="auto" w:fill="auto"/>
            <w:vAlign w:val="center"/>
          </w:tcPr>
          <w:p w14:paraId="013006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上马营红卫路</w:t>
            </w:r>
          </w:p>
        </w:tc>
        <w:tc>
          <w:tcPr>
            <w:tcW w:w="374" w:type="pct"/>
            <w:shd w:val="clear" w:color="auto" w:fill="auto"/>
            <w:vAlign w:val="center"/>
          </w:tcPr>
          <w:p w14:paraId="795F86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55B7A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EE93C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28D588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9CB1C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11E64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0C43C3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220</w:t>
            </w:r>
          </w:p>
        </w:tc>
        <w:tc>
          <w:tcPr>
            <w:tcW w:w="490" w:type="pct"/>
            <w:shd w:val="clear" w:color="auto" w:fill="auto"/>
            <w:vAlign w:val="center"/>
          </w:tcPr>
          <w:p w14:paraId="59409A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宝鸡市第三人民医院门诊综合楼二期</w:t>
            </w:r>
          </w:p>
        </w:tc>
        <w:tc>
          <w:tcPr>
            <w:tcW w:w="2040" w:type="pct"/>
            <w:shd w:val="clear" w:color="auto" w:fill="auto"/>
            <w:vAlign w:val="center"/>
          </w:tcPr>
          <w:p w14:paraId="7A480BE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框架结构</w:t>
            </w:r>
            <w:r>
              <w:rPr>
                <w:rFonts w:hint="eastAsia" w:ascii="仿宋_GB2312" w:hAnsi="宋体" w:eastAsia="仿宋_GB2312" w:cs="宋体"/>
                <w:kern w:val="0"/>
                <w:sz w:val="20"/>
                <w:szCs w:val="20"/>
              </w:rPr>
              <w:t>综合楼门诊楼一栋，地上17层，地下1层，总建筑面积3.45万平方米，配套相关医疗设备设施</w:t>
            </w:r>
          </w:p>
        </w:tc>
        <w:tc>
          <w:tcPr>
            <w:tcW w:w="460" w:type="pct"/>
            <w:shd w:val="clear" w:color="auto" w:fill="auto"/>
            <w:vAlign w:val="center"/>
          </w:tcPr>
          <w:p w14:paraId="22CDCB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0EF3CA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E9768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5D1A36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0C82DC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DDFF3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05385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0C4955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221</w:t>
            </w:r>
          </w:p>
        </w:tc>
        <w:tc>
          <w:tcPr>
            <w:tcW w:w="490" w:type="pct"/>
            <w:shd w:val="clear" w:color="auto" w:fill="auto"/>
            <w:vAlign w:val="center"/>
          </w:tcPr>
          <w:p w14:paraId="16A110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金台区接种门诊、发热门诊建设项目</w:t>
            </w:r>
          </w:p>
        </w:tc>
        <w:tc>
          <w:tcPr>
            <w:tcW w:w="2040" w:type="pct"/>
            <w:shd w:val="clear" w:color="auto" w:fill="auto"/>
            <w:vAlign w:val="center"/>
          </w:tcPr>
          <w:p w14:paraId="06807B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建设接种门诊（登记室、候诊区、接种区、留观区等）、发热门诊（消毒室、药房、留观室、隔离区、污物处理室等）， 并购置监护仪等医用设备</w:t>
            </w:r>
          </w:p>
        </w:tc>
        <w:tc>
          <w:tcPr>
            <w:tcW w:w="460" w:type="pct"/>
            <w:shd w:val="clear" w:color="auto" w:fill="auto"/>
            <w:vAlign w:val="center"/>
          </w:tcPr>
          <w:p w14:paraId="2CF820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71498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EF2F0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DB39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92455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27324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4EE79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7" w:hRule="atLeast"/>
        </w:trPr>
        <w:tc>
          <w:tcPr>
            <w:tcW w:w="225" w:type="pct"/>
            <w:shd w:val="clear" w:color="auto" w:fill="auto"/>
            <w:vAlign w:val="center"/>
          </w:tcPr>
          <w:p w14:paraId="55B5F2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222</w:t>
            </w:r>
          </w:p>
        </w:tc>
        <w:tc>
          <w:tcPr>
            <w:tcW w:w="490" w:type="pct"/>
            <w:shd w:val="clear" w:color="auto" w:fill="auto"/>
            <w:vAlign w:val="center"/>
          </w:tcPr>
          <w:p w14:paraId="371714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金台区疾控中心建设项目</w:t>
            </w:r>
          </w:p>
        </w:tc>
        <w:tc>
          <w:tcPr>
            <w:tcW w:w="2040" w:type="pct"/>
            <w:shd w:val="clear" w:color="auto" w:fill="auto"/>
            <w:vAlign w:val="center"/>
          </w:tcPr>
          <w:p w14:paraId="6CB8D76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新建约4000平方米疾病预防中心综合大楼，主要用于疾控中心实验室建设、实验室设备更新和购置，以及建设区级 卫生应急指挥中心、信息大厅、防疫 卫生应急物资储备 、卫生应急人员培训等疾控中心基础设施建设</w:t>
            </w:r>
          </w:p>
        </w:tc>
        <w:tc>
          <w:tcPr>
            <w:tcW w:w="460" w:type="pct"/>
            <w:shd w:val="clear" w:color="auto" w:fill="auto"/>
            <w:vAlign w:val="center"/>
          </w:tcPr>
          <w:p w14:paraId="62EBC1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06561D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B9325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77" w:type="pct"/>
            <w:shd w:val="clear" w:color="auto" w:fill="auto"/>
            <w:vAlign w:val="center"/>
          </w:tcPr>
          <w:p w14:paraId="42A1A6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0.24</w:t>
            </w:r>
          </w:p>
        </w:tc>
        <w:tc>
          <w:tcPr>
            <w:tcW w:w="319" w:type="pct"/>
            <w:shd w:val="clear" w:color="auto" w:fill="auto"/>
            <w:vAlign w:val="center"/>
          </w:tcPr>
          <w:p w14:paraId="46FD83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6A555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73F25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473961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223</w:t>
            </w:r>
          </w:p>
        </w:tc>
        <w:tc>
          <w:tcPr>
            <w:tcW w:w="490" w:type="pct"/>
            <w:shd w:val="clear" w:color="auto" w:fill="auto"/>
            <w:vAlign w:val="center"/>
          </w:tcPr>
          <w:p w14:paraId="4A28FD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金台医院蟠龙高新医院项目</w:t>
            </w:r>
          </w:p>
        </w:tc>
        <w:tc>
          <w:tcPr>
            <w:tcW w:w="2040" w:type="pct"/>
            <w:shd w:val="clear" w:color="auto" w:fill="auto"/>
            <w:vAlign w:val="center"/>
          </w:tcPr>
          <w:p w14:paraId="62AF8D6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占地163.5亩，建筑面积11.3万平方米，设置床位1000张，配套水电路等设施及设备购置</w:t>
            </w:r>
          </w:p>
        </w:tc>
        <w:tc>
          <w:tcPr>
            <w:tcW w:w="460" w:type="pct"/>
            <w:shd w:val="clear" w:color="auto" w:fill="auto"/>
            <w:vAlign w:val="center"/>
          </w:tcPr>
          <w:p w14:paraId="7DB65B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3D10C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7EF18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77" w:type="pct"/>
            <w:shd w:val="clear" w:color="auto" w:fill="auto"/>
            <w:vAlign w:val="center"/>
          </w:tcPr>
          <w:p w14:paraId="04C5A1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3.55</w:t>
            </w:r>
          </w:p>
        </w:tc>
        <w:tc>
          <w:tcPr>
            <w:tcW w:w="319" w:type="pct"/>
            <w:shd w:val="clear" w:color="auto" w:fill="auto"/>
            <w:vAlign w:val="center"/>
          </w:tcPr>
          <w:p w14:paraId="2A8801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473FF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区卫健局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584C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14" w:hRule="atLeast"/>
        </w:trPr>
        <w:tc>
          <w:tcPr>
            <w:tcW w:w="225" w:type="pct"/>
            <w:shd w:val="clear" w:color="auto" w:fill="auto"/>
            <w:vAlign w:val="center"/>
          </w:tcPr>
          <w:p w14:paraId="514BD5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24</w:t>
            </w:r>
          </w:p>
        </w:tc>
        <w:tc>
          <w:tcPr>
            <w:tcW w:w="490" w:type="pct"/>
            <w:shd w:val="clear" w:color="auto" w:fill="auto"/>
            <w:vAlign w:val="center"/>
          </w:tcPr>
          <w:p w14:paraId="1EB94F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金台区精神卫生服务中心</w:t>
            </w:r>
          </w:p>
        </w:tc>
        <w:tc>
          <w:tcPr>
            <w:tcW w:w="2040" w:type="pct"/>
            <w:shd w:val="clear" w:color="auto" w:fill="auto"/>
            <w:vAlign w:val="center"/>
          </w:tcPr>
          <w:p w14:paraId="1876DA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新建或购买建筑总面积3000平方米，设置4个科室，购买相关医疗设备，引进相关专业资质医生</w:t>
            </w:r>
          </w:p>
        </w:tc>
        <w:tc>
          <w:tcPr>
            <w:tcW w:w="460" w:type="pct"/>
            <w:shd w:val="clear" w:color="auto" w:fill="auto"/>
            <w:vAlign w:val="center"/>
          </w:tcPr>
          <w:p w14:paraId="61CDE3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0384E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D8AFA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77" w:type="pct"/>
            <w:shd w:val="clear" w:color="auto" w:fill="auto"/>
            <w:vAlign w:val="center"/>
          </w:tcPr>
          <w:p w14:paraId="7AF04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0.25 </w:t>
            </w:r>
          </w:p>
        </w:tc>
        <w:tc>
          <w:tcPr>
            <w:tcW w:w="319" w:type="pct"/>
            <w:shd w:val="clear" w:color="auto" w:fill="auto"/>
            <w:vAlign w:val="center"/>
          </w:tcPr>
          <w:p w14:paraId="3A001F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719BE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2503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2" w:hRule="atLeast"/>
        </w:trPr>
        <w:tc>
          <w:tcPr>
            <w:tcW w:w="225" w:type="pct"/>
            <w:shd w:val="clear" w:color="auto" w:fill="auto"/>
            <w:vAlign w:val="center"/>
          </w:tcPr>
          <w:p w14:paraId="290CD7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225</w:t>
            </w:r>
          </w:p>
        </w:tc>
        <w:tc>
          <w:tcPr>
            <w:tcW w:w="490" w:type="pct"/>
            <w:shd w:val="clear" w:color="auto" w:fill="auto"/>
            <w:vAlign w:val="center"/>
          </w:tcPr>
          <w:p w14:paraId="52DFECF4">
            <w:pPr>
              <w:adjustRightInd w:val="0"/>
              <w:snapToGrid w:val="0"/>
              <w:jc w:val="both"/>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ascii="仿宋_GB2312" w:hAnsi="宋体" w:eastAsia="仿宋_GB2312" w:cs="宋体"/>
                <w:kern w:val="0"/>
                <w:sz w:val="20"/>
                <w:szCs w:val="20"/>
              </w:rPr>
              <w:t>3岁以下婴</w:t>
            </w:r>
            <w:r>
              <w:rPr>
                <w:rFonts w:hint="eastAsia" w:ascii="仿宋_GB2312" w:hAnsi="宋体" w:eastAsia="仿宋_GB2312" w:cs="宋体"/>
                <w:kern w:val="0"/>
                <w:sz w:val="20"/>
                <w:szCs w:val="20"/>
              </w:rPr>
              <w:t>、鸟卫幼儿照护服务项目</w:t>
            </w:r>
          </w:p>
        </w:tc>
        <w:tc>
          <w:tcPr>
            <w:tcW w:w="2040" w:type="pct"/>
            <w:shd w:val="clear" w:color="auto" w:fill="auto"/>
            <w:vAlign w:val="center"/>
          </w:tcPr>
          <w:p w14:paraId="6A72C55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围绕国家政策法规体系和标准规范体系，建设多元化、多样化、覆盖城乡的</w:t>
            </w:r>
            <w:r>
              <w:rPr>
                <w:rFonts w:ascii="仿宋_GB2312" w:hAnsi="宋体" w:eastAsia="仿宋_GB2312" w:cs="宋体"/>
                <w:kern w:val="0"/>
                <w:sz w:val="20"/>
                <w:szCs w:val="20"/>
              </w:rPr>
              <w:t>3岁以下婴幼儿照护服务机构</w:t>
            </w:r>
          </w:p>
        </w:tc>
        <w:tc>
          <w:tcPr>
            <w:tcW w:w="460" w:type="pct"/>
            <w:shd w:val="clear" w:color="auto" w:fill="auto"/>
            <w:vAlign w:val="center"/>
          </w:tcPr>
          <w:p w14:paraId="7FA5E2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p w14:paraId="09F33E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相关社区</w:t>
            </w:r>
          </w:p>
        </w:tc>
        <w:tc>
          <w:tcPr>
            <w:tcW w:w="374" w:type="pct"/>
            <w:shd w:val="clear" w:color="auto" w:fill="auto"/>
            <w:vAlign w:val="center"/>
          </w:tcPr>
          <w:p w14:paraId="454CA6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021-2025</w:t>
            </w:r>
          </w:p>
        </w:tc>
        <w:tc>
          <w:tcPr>
            <w:tcW w:w="321" w:type="pct"/>
            <w:shd w:val="clear" w:color="auto" w:fill="auto"/>
            <w:vAlign w:val="center"/>
          </w:tcPr>
          <w:p w14:paraId="42CE7F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A9897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0638B0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C7813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308A1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25" w:hRule="atLeast"/>
        </w:trPr>
        <w:tc>
          <w:tcPr>
            <w:tcW w:w="225" w:type="pct"/>
            <w:shd w:val="clear" w:color="auto" w:fill="auto"/>
            <w:vAlign w:val="center"/>
          </w:tcPr>
          <w:p w14:paraId="3B5A79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226</w:t>
            </w:r>
          </w:p>
        </w:tc>
        <w:tc>
          <w:tcPr>
            <w:tcW w:w="490" w:type="pct"/>
            <w:shd w:val="clear" w:color="auto" w:fill="auto"/>
            <w:vAlign w:val="center"/>
          </w:tcPr>
          <w:p w14:paraId="78A87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蟠龙医疗康养院项目</w:t>
            </w:r>
          </w:p>
        </w:tc>
        <w:tc>
          <w:tcPr>
            <w:tcW w:w="2040" w:type="pct"/>
            <w:shd w:val="clear" w:color="auto" w:fill="auto"/>
            <w:vAlign w:val="center"/>
          </w:tcPr>
          <w:p w14:paraId="7C4F24A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项目总建筑面积15万平方米，实行医养结合型养老院模式，有效解决老年人养老和医疗问题</w:t>
            </w:r>
          </w:p>
        </w:tc>
        <w:tc>
          <w:tcPr>
            <w:tcW w:w="460" w:type="pct"/>
            <w:shd w:val="clear" w:color="auto" w:fill="auto"/>
            <w:vAlign w:val="center"/>
          </w:tcPr>
          <w:p w14:paraId="6EACAA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6888D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1E15E8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77" w:type="pct"/>
            <w:shd w:val="clear" w:color="auto" w:fill="auto"/>
            <w:vAlign w:val="center"/>
          </w:tcPr>
          <w:p w14:paraId="622BD0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5 </w:t>
            </w:r>
          </w:p>
        </w:tc>
        <w:tc>
          <w:tcPr>
            <w:tcW w:w="319" w:type="pct"/>
            <w:shd w:val="clear" w:color="auto" w:fill="auto"/>
            <w:vAlign w:val="center"/>
          </w:tcPr>
          <w:p w14:paraId="5B97EC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7232E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A01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2D3A2B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r>
              <w:rPr>
                <w:rFonts w:ascii="仿宋_GB2312" w:hAnsi="宋体" w:eastAsia="仿宋_GB2312" w:cs="宋体"/>
                <w:kern w:val="0"/>
                <w:sz w:val="20"/>
                <w:szCs w:val="20"/>
              </w:rPr>
              <w:t>7</w:t>
            </w:r>
          </w:p>
        </w:tc>
        <w:tc>
          <w:tcPr>
            <w:tcW w:w="490" w:type="pct"/>
            <w:shd w:val="clear" w:color="auto" w:fill="auto"/>
            <w:vAlign w:val="center"/>
          </w:tcPr>
          <w:p w14:paraId="013F14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金台区基层卫生院医疗设施提升项目</w:t>
            </w:r>
          </w:p>
        </w:tc>
        <w:tc>
          <w:tcPr>
            <w:tcW w:w="2040" w:type="pct"/>
            <w:shd w:val="clear" w:color="auto" w:fill="auto"/>
            <w:vAlign w:val="center"/>
          </w:tcPr>
          <w:p w14:paraId="384025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对项目区卫生院的门诊病房、传染科进行改造；增加床位45张，增加医疗设备30套，建设医疗垃圾处理站3个，配套建设给排水，电力等基础设施</w:t>
            </w:r>
          </w:p>
        </w:tc>
        <w:tc>
          <w:tcPr>
            <w:tcW w:w="460" w:type="pct"/>
            <w:shd w:val="clear" w:color="auto" w:fill="auto"/>
            <w:vAlign w:val="center"/>
          </w:tcPr>
          <w:p w14:paraId="7BF826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B3983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0CF1F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77" w:type="pct"/>
            <w:shd w:val="clear" w:color="auto" w:fill="auto"/>
            <w:vAlign w:val="center"/>
          </w:tcPr>
          <w:p w14:paraId="2589C8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0.50 </w:t>
            </w:r>
          </w:p>
        </w:tc>
        <w:tc>
          <w:tcPr>
            <w:tcW w:w="319" w:type="pct"/>
            <w:shd w:val="clear" w:color="auto" w:fill="auto"/>
            <w:vAlign w:val="center"/>
          </w:tcPr>
          <w:p w14:paraId="56F2D9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569CB7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区卫健局</w:t>
            </w:r>
          </w:p>
        </w:tc>
      </w:tr>
      <w:tr w14:paraId="3BF0C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57" w:hRule="atLeast"/>
        </w:trPr>
        <w:tc>
          <w:tcPr>
            <w:tcW w:w="225" w:type="pct"/>
            <w:shd w:val="clear" w:color="auto" w:fill="auto"/>
            <w:vAlign w:val="center"/>
          </w:tcPr>
          <w:p w14:paraId="1322C1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228</w:t>
            </w:r>
          </w:p>
        </w:tc>
        <w:tc>
          <w:tcPr>
            <w:tcW w:w="490" w:type="pct"/>
            <w:shd w:val="clear" w:color="auto" w:fill="auto"/>
            <w:vAlign w:val="center"/>
          </w:tcPr>
          <w:p w14:paraId="751089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蟠龙中医养生街项目</w:t>
            </w:r>
          </w:p>
        </w:tc>
        <w:tc>
          <w:tcPr>
            <w:tcW w:w="2040" w:type="pct"/>
            <w:shd w:val="clear" w:color="auto" w:fill="auto"/>
            <w:vAlign w:val="center"/>
          </w:tcPr>
          <w:p w14:paraId="6BC9871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建设一条中医诊所步行街，开展中医药养生保健、特色康复、健康养老和健康旅游相结合的健康服务新业态</w:t>
            </w:r>
          </w:p>
        </w:tc>
        <w:tc>
          <w:tcPr>
            <w:tcW w:w="460" w:type="pct"/>
            <w:shd w:val="clear" w:color="auto" w:fill="auto"/>
            <w:vAlign w:val="center"/>
          </w:tcPr>
          <w:p w14:paraId="43EC29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2BDF18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3F934C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77" w:type="pct"/>
            <w:shd w:val="clear" w:color="auto" w:fill="auto"/>
            <w:vAlign w:val="center"/>
          </w:tcPr>
          <w:p w14:paraId="3A5C39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3 </w:t>
            </w:r>
          </w:p>
        </w:tc>
        <w:tc>
          <w:tcPr>
            <w:tcW w:w="319" w:type="pct"/>
            <w:shd w:val="clear" w:color="auto" w:fill="auto"/>
            <w:vAlign w:val="center"/>
          </w:tcPr>
          <w:p w14:paraId="59D29C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D3C634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55B1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648A97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3897AD36">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文化体育（9）</w:t>
            </w:r>
          </w:p>
        </w:tc>
        <w:tc>
          <w:tcPr>
            <w:tcW w:w="2040" w:type="pct"/>
            <w:shd w:val="clear" w:color="auto" w:fill="auto"/>
            <w:vAlign w:val="center"/>
          </w:tcPr>
          <w:p w14:paraId="22C0CD4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2D6D90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486DF1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745660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77" w:type="pct"/>
            <w:shd w:val="clear" w:color="auto" w:fill="auto"/>
            <w:vAlign w:val="center"/>
          </w:tcPr>
          <w:p w14:paraId="2A27D3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6.36</w:t>
            </w:r>
          </w:p>
        </w:tc>
        <w:tc>
          <w:tcPr>
            <w:tcW w:w="319" w:type="pct"/>
            <w:shd w:val="clear" w:color="auto" w:fill="auto"/>
            <w:vAlign w:val="center"/>
          </w:tcPr>
          <w:p w14:paraId="6A67C4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D7ED1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2606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24" w:hRule="atLeast"/>
        </w:trPr>
        <w:tc>
          <w:tcPr>
            <w:tcW w:w="225" w:type="pct"/>
            <w:shd w:val="clear" w:color="auto" w:fill="auto"/>
            <w:vAlign w:val="center"/>
          </w:tcPr>
          <w:p w14:paraId="392818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229</w:t>
            </w:r>
          </w:p>
        </w:tc>
        <w:tc>
          <w:tcPr>
            <w:tcW w:w="490" w:type="pct"/>
            <w:shd w:val="clear" w:color="auto" w:fill="auto"/>
            <w:vAlign w:val="center"/>
          </w:tcPr>
          <w:p w14:paraId="133D2C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金台区工人文化宫项目</w:t>
            </w:r>
          </w:p>
        </w:tc>
        <w:tc>
          <w:tcPr>
            <w:tcW w:w="2040" w:type="pct"/>
            <w:shd w:val="clear" w:color="auto" w:fill="auto"/>
            <w:vAlign w:val="center"/>
          </w:tcPr>
          <w:p w14:paraId="035CDAE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占地5亩，建筑面积1500平方米，建设排演厅、职工服务大厅、活动场地、停车场等设施</w:t>
            </w:r>
          </w:p>
        </w:tc>
        <w:tc>
          <w:tcPr>
            <w:tcW w:w="460" w:type="pct"/>
            <w:shd w:val="clear" w:color="auto" w:fill="auto"/>
            <w:vAlign w:val="center"/>
          </w:tcPr>
          <w:p w14:paraId="133057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DD9C7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B3AE1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1EF5DB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47824A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C1951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区总工会</w:t>
            </w:r>
          </w:p>
        </w:tc>
      </w:tr>
      <w:tr w14:paraId="43F54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trPr>
        <w:tc>
          <w:tcPr>
            <w:tcW w:w="225" w:type="pct"/>
            <w:shd w:val="clear" w:color="auto" w:fill="auto"/>
            <w:vAlign w:val="center"/>
          </w:tcPr>
          <w:p w14:paraId="518D75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230</w:t>
            </w:r>
          </w:p>
        </w:tc>
        <w:tc>
          <w:tcPr>
            <w:tcW w:w="490" w:type="pct"/>
            <w:shd w:val="clear" w:color="auto" w:fill="auto"/>
            <w:vAlign w:val="center"/>
          </w:tcPr>
          <w:p w14:paraId="007C15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金台区委党校迁建项目</w:t>
            </w:r>
          </w:p>
        </w:tc>
        <w:tc>
          <w:tcPr>
            <w:tcW w:w="2040" w:type="pct"/>
            <w:shd w:val="clear" w:color="auto" w:fill="auto"/>
            <w:vAlign w:val="center"/>
          </w:tcPr>
          <w:p w14:paraId="23B2C9E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占地40亩，建筑面积1.3万平方米，建设教学图书楼、独立学术报告厅、标准化学员宿舍，餐厅等，配套室外运动场及附属工程</w:t>
            </w:r>
          </w:p>
        </w:tc>
        <w:tc>
          <w:tcPr>
            <w:tcW w:w="460" w:type="pct"/>
            <w:shd w:val="clear" w:color="auto" w:fill="auto"/>
            <w:vAlign w:val="center"/>
          </w:tcPr>
          <w:p w14:paraId="22568D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6A6BF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D9265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DAE25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ABD6A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3D4A37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区委党校</w:t>
            </w:r>
          </w:p>
        </w:tc>
      </w:tr>
      <w:tr w14:paraId="55D75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3" w:hRule="atLeast"/>
        </w:trPr>
        <w:tc>
          <w:tcPr>
            <w:tcW w:w="225" w:type="pct"/>
            <w:shd w:val="clear" w:color="auto" w:fill="auto"/>
            <w:vAlign w:val="center"/>
          </w:tcPr>
          <w:p w14:paraId="0D45F5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231</w:t>
            </w:r>
          </w:p>
        </w:tc>
        <w:tc>
          <w:tcPr>
            <w:tcW w:w="490" w:type="pct"/>
            <w:shd w:val="clear" w:color="auto" w:fill="auto"/>
            <w:vAlign w:val="center"/>
          </w:tcPr>
          <w:p w14:paraId="496DB7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长乐塬人防教育基地</w:t>
            </w:r>
          </w:p>
        </w:tc>
        <w:tc>
          <w:tcPr>
            <w:tcW w:w="2040" w:type="pct"/>
            <w:shd w:val="clear" w:color="auto" w:fill="auto"/>
            <w:vAlign w:val="center"/>
          </w:tcPr>
          <w:p w14:paraId="1114360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利用窑洞空间，改造建设3000</w:t>
            </w:r>
            <w:r>
              <w:rPr>
                <w:rFonts w:hint="eastAsia" w:ascii="仿宋_GB2312" w:hAnsi="宋体" w:eastAsia="仿宋_GB2312" w:cs="宋体"/>
                <w:kern w:val="0"/>
                <w:sz w:val="20"/>
                <w:szCs w:val="20"/>
                <w:lang w:eastAsia="zh-CN"/>
              </w:rPr>
              <w:t>平方米</w:t>
            </w:r>
            <w:r>
              <w:rPr>
                <w:rFonts w:hint="eastAsia" w:ascii="仿宋_GB2312" w:hAnsi="宋体" w:eastAsia="仿宋_GB2312" w:cs="宋体"/>
                <w:kern w:val="0"/>
                <w:sz w:val="20"/>
                <w:szCs w:val="20"/>
              </w:rPr>
              <w:t>，人防主题教育基地，包含300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米人防展陈空间</w:t>
            </w:r>
          </w:p>
        </w:tc>
        <w:tc>
          <w:tcPr>
            <w:tcW w:w="460" w:type="pct"/>
            <w:shd w:val="clear" w:color="auto" w:fill="auto"/>
            <w:vAlign w:val="center"/>
          </w:tcPr>
          <w:p w14:paraId="346C6A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长乐塬</w:t>
            </w:r>
          </w:p>
        </w:tc>
        <w:tc>
          <w:tcPr>
            <w:tcW w:w="374" w:type="pct"/>
            <w:shd w:val="clear" w:color="auto" w:fill="auto"/>
            <w:vAlign w:val="center"/>
          </w:tcPr>
          <w:p w14:paraId="3EBC8E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951AC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3C3C7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76219E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14B0E4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长乐塬管委会</w:t>
            </w:r>
          </w:p>
        </w:tc>
      </w:tr>
      <w:tr w14:paraId="06994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vMerge w:val="restart"/>
            <w:shd w:val="clear" w:color="auto" w:fill="auto"/>
            <w:vAlign w:val="center"/>
          </w:tcPr>
          <w:p w14:paraId="1D299E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232</w:t>
            </w:r>
          </w:p>
        </w:tc>
        <w:tc>
          <w:tcPr>
            <w:tcW w:w="490" w:type="pct"/>
            <w:vMerge w:val="restart"/>
            <w:shd w:val="clear" w:color="auto" w:fill="auto"/>
            <w:vAlign w:val="center"/>
          </w:tcPr>
          <w:p w14:paraId="6BC72D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金台区体育运动场提升改造项目（含2个子项目，总投资0.06亿元）</w:t>
            </w:r>
          </w:p>
        </w:tc>
        <w:tc>
          <w:tcPr>
            <w:tcW w:w="2040" w:type="pct"/>
            <w:shd w:val="clear" w:color="auto" w:fill="auto"/>
            <w:vAlign w:val="center"/>
          </w:tcPr>
          <w:p w14:paraId="492B549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金台中学体育运动场提升改造项目，改造提升金台中学体育运动场3000平方米，铲除破损人工草皮，重新铺设塑胶面层跑道、人工草皮等，新建围墙380米</w:t>
            </w:r>
          </w:p>
        </w:tc>
        <w:tc>
          <w:tcPr>
            <w:tcW w:w="460" w:type="pct"/>
            <w:shd w:val="clear" w:color="auto" w:fill="auto"/>
            <w:vAlign w:val="center"/>
          </w:tcPr>
          <w:p w14:paraId="69296A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金台中学院内</w:t>
            </w:r>
          </w:p>
        </w:tc>
        <w:tc>
          <w:tcPr>
            <w:tcW w:w="374" w:type="pct"/>
            <w:vMerge w:val="restart"/>
            <w:shd w:val="clear" w:color="auto" w:fill="auto"/>
            <w:vAlign w:val="center"/>
          </w:tcPr>
          <w:p w14:paraId="60A61A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706FED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03878E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restart"/>
            <w:shd w:val="clear" w:color="auto" w:fill="auto"/>
            <w:vAlign w:val="center"/>
          </w:tcPr>
          <w:p w14:paraId="78738D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vMerge w:val="restart"/>
            <w:shd w:val="clear" w:color="auto" w:fill="auto"/>
            <w:vAlign w:val="center"/>
          </w:tcPr>
          <w:p w14:paraId="4ED144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51898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vMerge w:val="continue"/>
            <w:vAlign w:val="center"/>
          </w:tcPr>
          <w:p w14:paraId="01349B78">
            <w:pPr>
              <w:adjustRightInd w:val="0"/>
              <w:snapToGrid w:val="0"/>
              <w:jc w:val="center"/>
              <w:rPr>
                <w:rFonts w:ascii="仿宋_GB2312" w:hAnsi="宋体" w:eastAsia="仿宋_GB2312" w:cs="宋体"/>
                <w:kern w:val="0"/>
                <w:sz w:val="20"/>
                <w:szCs w:val="20"/>
              </w:rPr>
            </w:pPr>
          </w:p>
        </w:tc>
        <w:tc>
          <w:tcPr>
            <w:tcW w:w="490" w:type="pct"/>
            <w:vMerge w:val="continue"/>
            <w:vAlign w:val="center"/>
          </w:tcPr>
          <w:p w14:paraId="3E716625">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11CA9BCC">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金台区卧龙寺中学体育运动场提升改造项目，改造提升卧龙寺中学体育运动场6400平方米，拆除破损人工草坪，重新铺设塑胶跑道、足球场、篮球场草坪及体育活动场草坪等，硬化活动场地2600平方米</w:t>
            </w:r>
          </w:p>
        </w:tc>
        <w:tc>
          <w:tcPr>
            <w:tcW w:w="460" w:type="pct"/>
            <w:shd w:val="clear" w:color="auto" w:fill="auto"/>
            <w:vAlign w:val="center"/>
          </w:tcPr>
          <w:p w14:paraId="7A763D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卧龙寺中学院内</w:t>
            </w:r>
          </w:p>
        </w:tc>
        <w:tc>
          <w:tcPr>
            <w:tcW w:w="374" w:type="pct"/>
            <w:vMerge w:val="continue"/>
            <w:vAlign w:val="center"/>
          </w:tcPr>
          <w:p w14:paraId="0715ED9A">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6C6551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0DB859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vMerge w:val="continue"/>
            <w:vAlign w:val="center"/>
          </w:tcPr>
          <w:p w14:paraId="26D4FCB4">
            <w:pPr>
              <w:adjustRightInd w:val="0"/>
              <w:snapToGrid w:val="0"/>
              <w:rPr>
                <w:rFonts w:ascii="仿宋_GB2312" w:hAnsi="宋体" w:eastAsia="仿宋_GB2312" w:cs="宋体"/>
                <w:kern w:val="0"/>
                <w:sz w:val="20"/>
                <w:szCs w:val="20"/>
              </w:rPr>
            </w:pPr>
          </w:p>
        </w:tc>
        <w:tc>
          <w:tcPr>
            <w:tcW w:w="392" w:type="pct"/>
            <w:vMerge w:val="continue"/>
            <w:vAlign w:val="center"/>
          </w:tcPr>
          <w:p w14:paraId="56EB42DF">
            <w:pPr>
              <w:adjustRightInd w:val="0"/>
              <w:snapToGrid w:val="0"/>
              <w:rPr>
                <w:rFonts w:ascii="仿宋_GB2312" w:hAnsi="宋体" w:eastAsia="仿宋_GB2312" w:cs="宋体"/>
                <w:kern w:val="0"/>
                <w:sz w:val="20"/>
                <w:szCs w:val="20"/>
              </w:rPr>
            </w:pPr>
          </w:p>
        </w:tc>
      </w:tr>
      <w:tr w14:paraId="5E489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223709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233</w:t>
            </w:r>
          </w:p>
        </w:tc>
        <w:tc>
          <w:tcPr>
            <w:tcW w:w="490" w:type="pct"/>
            <w:shd w:val="clear" w:color="auto" w:fill="auto"/>
            <w:vAlign w:val="center"/>
          </w:tcPr>
          <w:p w14:paraId="45437E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金台区铁路幼儿园室外活动场提升改造项目</w:t>
            </w:r>
          </w:p>
        </w:tc>
        <w:tc>
          <w:tcPr>
            <w:tcW w:w="2040" w:type="pct"/>
            <w:shd w:val="clear" w:color="auto" w:fill="auto"/>
            <w:vAlign w:val="center"/>
          </w:tcPr>
          <w:p w14:paraId="1E0662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改造提升铁路幼儿园室外活动场6000平方米，拆除破损人工草坪，重新铺设塑胶跑道、活动场草坪等</w:t>
            </w:r>
          </w:p>
        </w:tc>
        <w:tc>
          <w:tcPr>
            <w:tcW w:w="460" w:type="pct"/>
            <w:shd w:val="clear" w:color="auto" w:fill="auto"/>
            <w:vAlign w:val="center"/>
          </w:tcPr>
          <w:p w14:paraId="08CC58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金台区铁路幼儿园院内</w:t>
            </w:r>
          </w:p>
        </w:tc>
        <w:tc>
          <w:tcPr>
            <w:tcW w:w="374" w:type="pct"/>
            <w:shd w:val="clear" w:color="auto" w:fill="auto"/>
            <w:vAlign w:val="center"/>
          </w:tcPr>
          <w:p w14:paraId="6710D8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1C8841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77" w:type="pct"/>
            <w:shd w:val="clear" w:color="auto" w:fill="auto"/>
            <w:vAlign w:val="center"/>
          </w:tcPr>
          <w:p w14:paraId="18D7B5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w:t>
            </w:r>
          </w:p>
        </w:tc>
        <w:tc>
          <w:tcPr>
            <w:tcW w:w="319" w:type="pct"/>
            <w:shd w:val="clear" w:color="auto" w:fill="auto"/>
            <w:vAlign w:val="center"/>
          </w:tcPr>
          <w:p w14:paraId="5E566F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929D0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199B5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41" w:hRule="atLeast"/>
        </w:trPr>
        <w:tc>
          <w:tcPr>
            <w:tcW w:w="225" w:type="pct"/>
            <w:shd w:val="clear" w:color="auto" w:fill="auto"/>
            <w:vAlign w:val="center"/>
          </w:tcPr>
          <w:p w14:paraId="3DEFAA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234</w:t>
            </w:r>
          </w:p>
        </w:tc>
        <w:tc>
          <w:tcPr>
            <w:tcW w:w="490" w:type="pct"/>
            <w:shd w:val="clear" w:color="auto" w:fill="auto"/>
            <w:vAlign w:val="center"/>
          </w:tcPr>
          <w:p w14:paraId="6AAD98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金台区社区全民健身中心建设项目</w:t>
            </w:r>
          </w:p>
        </w:tc>
        <w:tc>
          <w:tcPr>
            <w:tcW w:w="2040" w:type="pct"/>
            <w:shd w:val="clear" w:color="auto" w:fill="auto"/>
            <w:vAlign w:val="center"/>
          </w:tcPr>
          <w:p w14:paraId="2D4459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改建1个区级全民健身中心，建筑面积2000</w:t>
            </w:r>
            <w:r>
              <w:rPr>
                <w:rFonts w:hint="eastAsia" w:ascii="Segoe UI Symbol" w:hAnsi="Segoe UI Symbol" w:eastAsia="Segoe UI Symbol" w:cs="Segoe UI Symbol"/>
                <w:kern w:val="0"/>
                <w:sz w:val="20"/>
                <w:szCs w:val="20"/>
              </w:rPr>
              <w:t>㎡</w:t>
            </w:r>
            <w:r>
              <w:rPr>
                <w:rFonts w:hint="eastAsia" w:ascii="仿宋_GB2312" w:hAnsi="仿宋_GB2312" w:eastAsia="仿宋_GB2312" w:cs="仿宋_GB2312"/>
                <w:kern w:val="0"/>
                <w:sz w:val="20"/>
                <w:szCs w:val="20"/>
              </w:rPr>
              <w:t>，新建</w:t>
            </w:r>
            <w:r>
              <w:rPr>
                <w:rFonts w:hint="eastAsia" w:ascii="仿宋_GB2312" w:hAnsi="宋体" w:eastAsia="仿宋_GB2312" w:cs="宋体"/>
                <w:kern w:val="0"/>
                <w:sz w:val="20"/>
                <w:szCs w:val="20"/>
              </w:rPr>
              <w:t>1个大空间球类健身用房，1个乒乓球健身用房，1个体能训练健身用房， 1个体质测试功能用房等；配套相应的体育健身器械设备等。改建10个社区全民健身中心，配备健身器械一批</w:t>
            </w:r>
          </w:p>
        </w:tc>
        <w:tc>
          <w:tcPr>
            <w:tcW w:w="460" w:type="pct"/>
            <w:shd w:val="clear" w:color="auto" w:fill="auto"/>
            <w:vAlign w:val="center"/>
          </w:tcPr>
          <w:p w14:paraId="4ACA0E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金台区相关社区</w:t>
            </w:r>
          </w:p>
        </w:tc>
        <w:tc>
          <w:tcPr>
            <w:tcW w:w="374" w:type="pct"/>
            <w:shd w:val="clear" w:color="auto" w:fill="auto"/>
            <w:vAlign w:val="center"/>
          </w:tcPr>
          <w:p w14:paraId="58E34A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8EB4D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574B88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58CB2E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1156E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区教体局</w:t>
            </w:r>
          </w:p>
        </w:tc>
      </w:tr>
      <w:tr w14:paraId="0FFCC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0" w:hRule="atLeast"/>
        </w:trPr>
        <w:tc>
          <w:tcPr>
            <w:tcW w:w="225" w:type="pct"/>
            <w:shd w:val="clear" w:color="auto" w:fill="auto"/>
            <w:vAlign w:val="center"/>
          </w:tcPr>
          <w:p w14:paraId="65D713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235</w:t>
            </w:r>
          </w:p>
        </w:tc>
        <w:tc>
          <w:tcPr>
            <w:tcW w:w="490" w:type="pct"/>
            <w:shd w:val="clear" w:color="auto" w:fill="auto"/>
            <w:vAlign w:val="center"/>
          </w:tcPr>
          <w:p w14:paraId="07629C0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蟠龙新区全民健身中心</w:t>
            </w:r>
          </w:p>
        </w:tc>
        <w:tc>
          <w:tcPr>
            <w:tcW w:w="2040" w:type="pct"/>
            <w:shd w:val="clear" w:color="auto" w:fill="auto"/>
            <w:vAlign w:val="center"/>
          </w:tcPr>
          <w:p w14:paraId="5B2E6EE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建设综合性全民健身中心3600平方米。其中室内建筑面积2000平方米，室外健身场地面积1600平方米，健走步道5公里，配备</w:t>
            </w:r>
            <w:r>
              <w:rPr>
                <w:rFonts w:hint="eastAsia" w:ascii="仿宋_GB2312" w:hAnsi="宋体" w:eastAsia="仿宋_GB2312" w:cs="宋体"/>
                <w:kern w:val="0"/>
                <w:sz w:val="20"/>
                <w:szCs w:val="20"/>
                <w:lang w:eastAsia="zh-CN"/>
              </w:rPr>
              <w:t>健身</w:t>
            </w:r>
            <w:r>
              <w:rPr>
                <w:rFonts w:hint="eastAsia" w:ascii="仿宋_GB2312" w:hAnsi="宋体" w:eastAsia="仿宋_GB2312" w:cs="宋体"/>
                <w:kern w:val="0"/>
                <w:sz w:val="20"/>
                <w:szCs w:val="20"/>
              </w:rPr>
              <w:t>运动场，附属用房，室内铺设专用地垫，室外地面铺设合成材料及室内外场地配备灯光照明系统</w:t>
            </w:r>
          </w:p>
        </w:tc>
        <w:tc>
          <w:tcPr>
            <w:tcW w:w="460" w:type="pct"/>
            <w:shd w:val="clear" w:color="auto" w:fill="auto"/>
            <w:vAlign w:val="center"/>
          </w:tcPr>
          <w:p w14:paraId="553EDE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F8B8A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DFFA3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E3582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5F8AE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50915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0905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15" w:hRule="atLeast"/>
        </w:trPr>
        <w:tc>
          <w:tcPr>
            <w:tcW w:w="225" w:type="pct"/>
            <w:shd w:val="clear" w:color="auto" w:fill="auto"/>
            <w:vAlign w:val="center"/>
          </w:tcPr>
          <w:p w14:paraId="5C33D5E0">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236</w:t>
            </w:r>
          </w:p>
        </w:tc>
        <w:tc>
          <w:tcPr>
            <w:tcW w:w="490" w:type="pct"/>
            <w:shd w:val="clear" w:color="auto" w:fill="auto"/>
            <w:vAlign w:val="center"/>
          </w:tcPr>
          <w:p w14:paraId="49A0E8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蟠龙新区社会足球场建设项目</w:t>
            </w:r>
          </w:p>
        </w:tc>
        <w:tc>
          <w:tcPr>
            <w:tcW w:w="2040" w:type="pct"/>
            <w:shd w:val="clear" w:color="auto" w:fill="auto"/>
            <w:vAlign w:val="center"/>
          </w:tcPr>
          <w:p w14:paraId="26FE486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新建社会足球场7个，11人制3个，7人制2个，5人制2个</w:t>
            </w:r>
          </w:p>
        </w:tc>
        <w:tc>
          <w:tcPr>
            <w:tcW w:w="460" w:type="pct"/>
            <w:shd w:val="clear" w:color="auto" w:fill="auto"/>
            <w:vAlign w:val="center"/>
          </w:tcPr>
          <w:p w14:paraId="2B987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607C9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7B323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688C92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2C7CB4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617F2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06AF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7" w:hRule="atLeast"/>
        </w:trPr>
        <w:tc>
          <w:tcPr>
            <w:tcW w:w="225" w:type="pct"/>
            <w:shd w:val="clear" w:color="auto" w:fill="auto"/>
            <w:vAlign w:val="center"/>
          </w:tcPr>
          <w:p w14:paraId="03D237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237</w:t>
            </w:r>
          </w:p>
        </w:tc>
        <w:tc>
          <w:tcPr>
            <w:tcW w:w="490" w:type="pct"/>
            <w:shd w:val="clear" w:color="auto" w:fill="auto"/>
            <w:vAlign w:val="center"/>
          </w:tcPr>
          <w:p w14:paraId="76793A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蟠龙新区体育运动公园项目</w:t>
            </w:r>
          </w:p>
        </w:tc>
        <w:tc>
          <w:tcPr>
            <w:tcW w:w="2040" w:type="pct"/>
            <w:shd w:val="clear" w:color="auto" w:fill="auto"/>
            <w:vAlign w:val="center"/>
          </w:tcPr>
          <w:p w14:paraId="6024676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占地约120亩，建筑面积2万平方米，配套建设游泳馆、乒乓球馆、搏击馆、健身馆等室内健身</w:t>
            </w:r>
            <w:r>
              <w:rPr>
                <w:rFonts w:hint="eastAsia" w:ascii="仿宋_GB2312" w:hAnsi="宋体" w:eastAsia="仿宋_GB2312" w:cs="宋体"/>
                <w:kern w:val="0"/>
                <w:sz w:val="20"/>
                <w:szCs w:val="20"/>
                <w:lang w:eastAsia="zh-CN"/>
              </w:rPr>
              <w:t>及</w:t>
            </w:r>
            <w:r>
              <w:rPr>
                <w:rFonts w:hint="eastAsia" w:ascii="仿宋_GB2312" w:hAnsi="宋体" w:eastAsia="仿宋_GB2312" w:cs="宋体"/>
                <w:kern w:val="0"/>
                <w:sz w:val="20"/>
                <w:szCs w:val="20"/>
              </w:rPr>
              <w:t>篮球场、网球场、七人制足球场等室外运动场地</w:t>
            </w:r>
          </w:p>
        </w:tc>
        <w:tc>
          <w:tcPr>
            <w:tcW w:w="460" w:type="pct"/>
            <w:shd w:val="clear" w:color="auto" w:fill="auto"/>
            <w:vAlign w:val="center"/>
          </w:tcPr>
          <w:p w14:paraId="21B0DA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DDBD4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9CFEB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50B84B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4F3FE2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D109D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2EC72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3" w:hRule="atLeast"/>
        </w:trPr>
        <w:tc>
          <w:tcPr>
            <w:tcW w:w="225" w:type="pct"/>
            <w:shd w:val="clear" w:color="auto" w:fill="auto"/>
            <w:vAlign w:val="center"/>
          </w:tcPr>
          <w:p w14:paraId="696EB962">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（四）</w:t>
            </w:r>
          </w:p>
        </w:tc>
        <w:tc>
          <w:tcPr>
            <w:tcW w:w="490" w:type="pct"/>
            <w:shd w:val="clear" w:color="auto" w:fill="auto"/>
            <w:vAlign w:val="center"/>
          </w:tcPr>
          <w:p w14:paraId="7C17F368">
            <w:pPr>
              <w:adjustRightInd w:val="0"/>
              <w:snapToGrid w:val="0"/>
              <w:jc w:val="center"/>
              <w:rPr>
                <w:rFonts w:ascii="楷体_GB2312" w:hAnsi="楷体_GB2312" w:eastAsia="楷体_GB2312" w:cs="楷体_GB2312"/>
                <w:b/>
                <w:bCs/>
                <w:spacing w:val="-11"/>
                <w:kern w:val="0"/>
                <w:sz w:val="20"/>
                <w:szCs w:val="20"/>
              </w:rPr>
            </w:pPr>
            <w:r>
              <w:rPr>
                <w:rFonts w:hint="eastAsia" w:ascii="楷体_GB2312" w:hAnsi="楷体_GB2312" w:eastAsia="楷体_GB2312" w:cs="楷体_GB2312"/>
                <w:b/>
                <w:bCs/>
                <w:spacing w:val="-11"/>
                <w:kern w:val="0"/>
                <w:sz w:val="20"/>
                <w:szCs w:val="20"/>
              </w:rPr>
              <w:t>社会服务体系（8）</w:t>
            </w:r>
          </w:p>
        </w:tc>
        <w:tc>
          <w:tcPr>
            <w:tcW w:w="2040" w:type="pct"/>
            <w:shd w:val="clear" w:color="auto" w:fill="auto"/>
            <w:vAlign w:val="center"/>
          </w:tcPr>
          <w:p w14:paraId="748BE08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460" w:type="pct"/>
            <w:shd w:val="clear" w:color="auto" w:fill="auto"/>
            <w:vAlign w:val="center"/>
          </w:tcPr>
          <w:p w14:paraId="1196E3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C0C965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2EB95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77" w:type="pct"/>
            <w:shd w:val="clear" w:color="auto" w:fill="auto"/>
            <w:vAlign w:val="center"/>
          </w:tcPr>
          <w:p w14:paraId="4C6E2D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4.03</w:t>
            </w:r>
          </w:p>
        </w:tc>
        <w:tc>
          <w:tcPr>
            <w:tcW w:w="319" w:type="pct"/>
            <w:shd w:val="clear" w:color="auto" w:fill="auto"/>
            <w:vAlign w:val="center"/>
          </w:tcPr>
          <w:p w14:paraId="227904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001FD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7AD6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2" w:hRule="atLeast"/>
        </w:trPr>
        <w:tc>
          <w:tcPr>
            <w:tcW w:w="225" w:type="pct"/>
            <w:shd w:val="clear" w:color="auto" w:fill="auto"/>
            <w:vAlign w:val="center"/>
          </w:tcPr>
          <w:p w14:paraId="557997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238</w:t>
            </w:r>
          </w:p>
        </w:tc>
        <w:tc>
          <w:tcPr>
            <w:tcW w:w="490" w:type="pct"/>
            <w:shd w:val="clear" w:color="auto" w:fill="auto"/>
            <w:vAlign w:val="center"/>
          </w:tcPr>
          <w:p w14:paraId="7E5B89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金台区养老服务项目</w:t>
            </w:r>
          </w:p>
        </w:tc>
        <w:tc>
          <w:tcPr>
            <w:tcW w:w="2040" w:type="pct"/>
            <w:shd w:val="clear" w:color="auto" w:fill="auto"/>
            <w:vAlign w:val="center"/>
          </w:tcPr>
          <w:p w14:paraId="30A66ED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老年养护大楼、养老楼、老年日间照料中心，改造提升养老服务设施、设置床位、购置医疗护理、康复治疗设备等；配备建设服务室、保健康复室、休息室、文化活动室、餐厅、给排水、电力、暖通、绿化等设施</w:t>
            </w:r>
          </w:p>
        </w:tc>
        <w:tc>
          <w:tcPr>
            <w:tcW w:w="460" w:type="pct"/>
            <w:shd w:val="clear" w:color="auto" w:fill="auto"/>
            <w:vAlign w:val="center"/>
          </w:tcPr>
          <w:p w14:paraId="1B5AA6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5E5A30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F5432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7BA2A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58B793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政府投资</w:t>
            </w:r>
          </w:p>
        </w:tc>
        <w:tc>
          <w:tcPr>
            <w:tcW w:w="392" w:type="pct"/>
            <w:shd w:val="clear" w:color="auto" w:fill="auto"/>
            <w:vAlign w:val="center"/>
          </w:tcPr>
          <w:p w14:paraId="1F7A0D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5CF37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1A3995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239</w:t>
            </w:r>
          </w:p>
        </w:tc>
        <w:tc>
          <w:tcPr>
            <w:tcW w:w="490" w:type="pct"/>
            <w:shd w:val="clear" w:color="auto" w:fill="auto"/>
            <w:vAlign w:val="center"/>
          </w:tcPr>
          <w:p w14:paraId="016D2F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金台区社区标准化及服务中心建设项目</w:t>
            </w:r>
          </w:p>
        </w:tc>
        <w:tc>
          <w:tcPr>
            <w:tcW w:w="2040" w:type="pct"/>
            <w:shd w:val="clear" w:color="auto" w:fill="auto"/>
            <w:vAlign w:val="center"/>
          </w:tcPr>
          <w:p w14:paraId="37F6E49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对22个社区进行标准化改造提升，达到省级标准，并对社区办公服务用房、老年人日间照料中心进行提升改造，完善日托服务功能等</w:t>
            </w:r>
          </w:p>
        </w:tc>
        <w:tc>
          <w:tcPr>
            <w:tcW w:w="460" w:type="pct"/>
            <w:shd w:val="clear" w:color="auto" w:fill="auto"/>
            <w:vAlign w:val="center"/>
          </w:tcPr>
          <w:p w14:paraId="0076BD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57BBB9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963C6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295DE1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64D5F2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32F2A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043ED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7B6C92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240</w:t>
            </w:r>
          </w:p>
        </w:tc>
        <w:tc>
          <w:tcPr>
            <w:tcW w:w="490" w:type="pct"/>
            <w:shd w:val="clear" w:color="auto" w:fill="auto"/>
            <w:vAlign w:val="center"/>
          </w:tcPr>
          <w:p w14:paraId="75AD3F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金台区公益性公墓建设项目</w:t>
            </w:r>
          </w:p>
        </w:tc>
        <w:tc>
          <w:tcPr>
            <w:tcW w:w="2040" w:type="pct"/>
            <w:shd w:val="clear" w:color="auto" w:fill="auto"/>
            <w:vAlign w:val="center"/>
          </w:tcPr>
          <w:p w14:paraId="1EB9D3B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项目用地28亩，建设遗体双人墓穴 800个，单人遗体墓穴200个，骨灰墓穴2000个，停车场，管理用房及服务用房，骨灰存放堂；配套建设给排水、暖通、电力、通信、绿化、停车场等设施</w:t>
            </w:r>
          </w:p>
        </w:tc>
        <w:tc>
          <w:tcPr>
            <w:tcW w:w="460" w:type="pct"/>
            <w:shd w:val="clear" w:color="auto" w:fill="auto"/>
            <w:vAlign w:val="center"/>
          </w:tcPr>
          <w:p w14:paraId="225CF2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西关地区</w:t>
            </w:r>
          </w:p>
        </w:tc>
        <w:tc>
          <w:tcPr>
            <w:tcW w:w="374" w:type="pct"/>
            <w:shd w:val="clear" w:color="auto" w:fill="auto"/>
            <w:vAlign w:val="center"/>
          </w:tcPr>
          <w:p w14:paraId="217D4A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7862DC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44EB30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382F2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84B4F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2CCD7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8282E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241</w:t>
            </w:r>
          </w:p>
        </w:tc>
        <w:tc>
          <w:tcPr>
            <w:tcW w:w="490" w:type="pct"/>
            <w:shd w:val="clear" w:color="auto" w:fill="auto"/>
            <w:vAlign w:val="center"/>
          </w:tcPr>
          <w:p w14:paraId="1B7766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金台区政务中心</w:t>
            </w:r>
          </w:p>
        </w:tc>
        <w:tc>
          <w:tcPr>
            <w:tcW w:w="2040" w:type="pct"/>
            <w:shd w:val="clear" w:color="auto" w:fill="auto"/>
            <w:vAlign w:val="center"/>
          </w:tcPr>
          <w:p w14:paraId="50DE950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建设集行政审批、信访接待、便民服务等功能为一体的行政服务大厅一座，建设面积2万平方米</w:t>
            </w:r>
          </w:p>
        </w:tc>
        <w:tc>
          <w:tcPr>
            <w:tcW w:w="460" w:type="pct"/>
            <w:shd w:val="clear" w:color="auto" w:fill="auto"/>
            <w:vAlign w:val="center"/>
          </w:tcPr>
          <w:p w14:paraId="47BA92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29EF1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BA55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021DD2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135DDB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C564E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区审批局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区民政局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区信访局</w:t>
            </w:r>
          </w:p>
        </w:tc>
      </w:tr>
      <w:tr w14:paraId="654AF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9" w:hRule="atLeast"/>
        </w:trPr>
        <w:tc>
          <w:tcPr>
            <w:tcW w:w="225" w:type="pct"/>
            <w:shd w:val="clear" w:color="auto" w:fill="auto"/>
            <w:vAlign w:val="center"/>
          </w:tcPr>
          <w:p w14:paraId="6528D7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490" w:type="pct"/>
            <w:shd w:val="clear" w:color="auto" w:fill="auto"/>
            <w:vAlign w:val="center"/>
          </w:tcPr>
          <w:p w14:paraId="525520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宝鸡市蟠龙公墓项目</w:t>
            </w:r>
          </w:p>
        </w:tc>
        <w:tc>
          <w:tcPr>
            <w:tcW w:w="2040" w:type="pct"/>
            <w:shd w:val="clear" w:color="auto" w:fill="auto"/>
            <w:vAlign w:val="center"/>
          </w:tcPr>
          <w:p w14:paraId="060244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总用地面积80亩，建设墓穴16000个。配套建设车行道路，人行道路，停车场，祭品焚烧区，集散广场；公厕一座、管理用房、值班室，绿化面积等设施</w:t>
            </w:r>
          </w:p>
        </w:tc>
        <w:tc>
          <w:tcPr>
            <w:tcW w:w="460" w:type="pct"/>
            <w:shd w:val="clear" w:color="auto" w:fill="auto"/>
            <w:vAlign w:val="center"/>
          </w:tcPr>
          <w:p w14:paraId="13F89A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A785E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1CFD5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77" w:type="pct"/>
            <w:shd w:val="clear" w:color="auto" w:fill="auto"/>
            <w:vAlign w:val="center"/>
          </w:tcPr>
          <w:p w14:paraId="55A8E6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1.58</w:t>
            </w:r>
          </w:p>
        </w:tc>
        <w:tc>
          <w:tcPr>
            <w:tcW w:w="319" w:type="pct"/>
            <w:shd w:val="clear" w:color="auto" w:fill="auto"/>
            <w:vAlign w:val="center"/>
          </w:tcPr>
          <w:p w14:paraId="4F3E2A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A12CA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3824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5" w:hRule="atLeast"/>
        </w:trPr>
        <w:tc>
          <w:tcPr>
            <w:tcW w:w="225" w:type="pct"/>
            <w:shd w:val="clear" w:color="auto" w:fill="auto"/>
            <w:vAlign w:val="center"/>
          </w:tcPr>
          <w:p w14:paraId="7076A2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243</w:t>
            </w:r>
          </w:p>
        </w:tc>
        <w:tc>
          <w:tcPr>
            <w:tcW w:w="490" w:type="pct"/>
            <w:shd w:val="clear" w:color="auto" w:fill="auto"/>
            <w:vAlign w:val="center"/>
          </w:tcPr>
          <w:p w14:paraId="3BDD48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金台区禁毒教育基地建设工程</w:t>
            </w:r>
          </w:p>
        </w:tc>
        <w:tc>
          <w:tcPr>
            <w:tcW w:w="2040" w:type="pct"/>
            <w:shd w:val="clear" w:color="auto" w:fill="auto"/>
            <w:vAlign w:val="center"/>
          </w:tcPr>
          <w:p w14:paraId="7BCC3E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新建大楼一座，建筑面积2200平方米。包括：布展工程、展厅装饰装修工程、多媒体系统工程、电气工程、弱电工程、空调工程及其他附属设施</w:t>
            </w:r>
          </w:p>
        </w:tc>
        <w:tc>
          <w:tcPr>
            <w:tcW w:w="460" w:type="pct"/>
            <w:shd w:val="clear" w:color="auto" w:fill="auto"/>
            <w:vAlign w:val="center"/>
          </w:tcPr>
          <w:p w14:paraId="508692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32598E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1AA8F1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281B32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6D57DB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6C5F5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市公安局</w:t>
            </w:r>
          </w:p>
          <w:p w14:paraId="1BA6E8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金台分局</w:t>
            </w:r>
          </w:p>
        </w:tc>
      </w:tr>
      <w:tr w14:paraId="76928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6" w:hRule="atLeast"/>
        </w:trPr>
        <w:tc>
          <w:tcPr>
            <w:tcW w:w="225" w:type="pct"/>
            <w:shd w:val="clear" w:color="auto" w:fill="auto"/>
            <w:vAlign w:val="center"/>
          </w:tcPr>
          <w:p w14:paraId="030BB9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44</w:t>
            </w:r>
          </w:p>
        </w:tc>
        <w:tc>
          <w:tcPr>
            <w:tcW w:w="490" w:type="pct"/>
            <w:shd w:val="clear" w:color="auto" w:fill="auto"/>
            <w:vAlign w:val="center"/>
          </w:tcPr>
          <w:p w14:paraId="2B77DC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金台区社会治理综合服务中心建设项目</w:t>
            </w:r>
          </w:p>
        </w:tc>
        <w:tc>
          <w:tcPr>
            <w:tcW w:w="2040" w:type="pct"/>
            <w:shd w:val="clear" w:color="auto" w:fill="auto"/>
            <w:vAlign w:val="center"/>
          </w:tcPr>
          <w:p w14:paraId="0FE9928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建筑面积约1500平方米，包括室内装修、设备安装、办公家具及智能设备采购等，配套建设给排水、电力电讯设施及环境绿化等。设置区信访接待中心、综合治理中心、矛盾纠纷调解中心</w:t>
            </w:r>
          </w:p>
        </w:tc>
        <w:tc>
          <w:tcPr>
            <w:tcW w:w="460" w:type="pct"/>
            <w:shd w:val="clear" w:color="auto" w:fill="auto"/>
            <w:vAlign w:val="center"/>
          </w:tcPr>
          <w:p w14:paraId="12DC86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83FAC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69E20F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3C0942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266EFF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C3C4C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区民政局</w:t>
            </w:r>
          </w:p>
        </w:tc>
      </w:tr>
      <w:tr w14:paraId="7B7BC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678379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245</w:t>
            </w:r>
          </w:p>
        </w:tc>
        <w:tc>
          <w:tcPr>
            <w:tcW w:w="490" w:type="pct"/>
            <w:shd w:val="clear" w:color="auto" w:fill="auto"/>
            <w:vAlign w:val="center"/>
          </w:tcPr>
          <w:p w14:paraId="321396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金台区应急广播体系建设项目</w:t>
            </w:r>
          </w:p>
        </w:tc>
        <w:tc>
          <w:tcPr>
            <w:tcW w:w="2040" w:type="pct"/>
            <w:shd w:val="clear" w:color="auto" w:fill="auto"/>
            <w:vAlign w:val="center"/>
          </w:tcPr>
          <w:p w14:paraId="7DBA5BA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在各镇建设村级广播室、分别安装分控软件1组，电话编码播控器，智能收扩机，扬声器，辅材等配套设施</w:t>
            </w:r>
          </w:p>
        </w:tc>
        <w:tc>
          <w:tcPr>
            <w:tcW w:w="460" w:type="pct"/>
            <w:shd w:val="clear" w:color="auto" w:fill="auto"/>
            <w:vAlign w:val="center"/>
          </w:tcPr>
          <w:p w14:paraId="51EFBB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金台区各乡镇</w:t>
            </w:r>
          </w:p>
        </w:tc>
        <w:tc>
          <w:tcPr>
            <w:tcW w:w="374" w:type="pct"/>
            <w:shd w:val="clear" w:color="auto" w:fill="auto"/>
            <w:vAlign w:val="center"/>
          </w:tcPr>
          <w:p w14:paraId="0625B9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D66E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77" w:type="pct"/>
            <w:shd w:val="clear" w:color="auto" w:fill="auto"/>
            <w:vAlign w:val="center"/>
          </w:tcPr>
          <w:p w14:paraId="49A598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0.18</w:t>
            </w:r>
          </w:p>
        </w:tc>
        <w:tc>
          <w:tcPr>
            <w:tcW w:w="319" w:type="pct"/>
            <w:shd w:val="clear" w:color="auto" w:fill="auto"/>
            <w:vAlign w:val="center"/>
          </w:tcPr>
          <w:p w14:paraId="070DD8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B3BD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区委宣传部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区文旅局</w:t>
            </w:r>
          </w:p>
        </w:tc>
      </w:tr>
      <w:tr w14:paraId="2B3CC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87" w:hRule="atLeast"/>
        </w:trPr>
        <w:tc>
          <w:tcPr>
            <w:tcW w:w="2756" w:type="pct"/>
            <w:gridSpan w:val="3"/>
            <w:shd w:val="clear" w:color="auto" w:fill="auto"/>
            <w:vAlign w:val="center"/>
          </w:tcPr>
          <w:p w14:paraId="19D9ADBD">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八、新型城镇化项目（44个）</w:t>
            </w:r>
          </w:p>
        </w:tc>
        <w:tc>
          <w:tcPr>
            <w:tcW w:w="460" w:type="pct"/>
            <w:shd w:val="clear" w:color="auto" w:fill="auto"/>
            <w:vAlign w:val="center"/>
          </w:tcPr>
          <w:p w14:paraId="6CFCE5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14C9DD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7E6794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768.593</w:t>
            </w:r>
          </w:p>
        </w:tc>
        <w:tc>
          <w:tcPr>
            <w:tcW w:w="377" w:type="pct"/>
            <w:shd w:val="clear" w:color="auto" w:fill="auto"/>
            <w:vAlign w:val="center"/>
          </w:tcPr>
          <w:p w14:paraId="5ADD4BA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741.593</w:t>
            </w:r>
          </w:p>
        </w:tc>
        <w:tc>
          <w:tcPr>
            <w:tcW w:w="319" w:type="pct"/>
            <w:shd w:val="clear" w:color="auto" w:fill="auto"/>
            <w:vAlign w:val="center"/>
          </w:tcPr>
          <w:p w14:paraId="4BD2D0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59526A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5B75E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EBABEC5">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30C8DF83">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旧城（棚户区）改造（34）</w:t>
            </w:r>
          </w:p>
        </w:tc>
        <w:tc>
          <w:tcPr>
            <w:tcW w:w="2040" w:type="pct"/>
            <w:shd w:val="clear" w:color="auto" w:fill="auto"/>
            <w:vAlign w:val="center"/>
          </w:tcPr>
          <w:p w14:paraId="12565FA2">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4382DF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BA33B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51F55A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652.3</w:t>
            </w:r>
          </w:p>
        </w:tc>
        <w:tc>
          <w:tcPr>
            <w:tcW w:w="377" w:type="pct"/>
            <w:shd w:val="clear" w:color="auto" w:fill="auto"/>
            <w:vAlign w:val="center"/>
          </w:tcPr>
          <w:p w14:paraId="6AC97661">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636.3</w:t>
            </w:r>
          </w:p>
        </w:tc>
        <w:tc>
          <w:tcPr>
            <w:tcW w:w="319" w:type="pct"/>
            <w:shd w:val="clear" w:color="auto" w:fill="auto"/>
            <w:vAlign w:val="center"/>
          </w:tcPr>
          <w:p w14:paraId="1388F9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EEB80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581F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517A77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246</w:t>
            </w:r>
          </w:p>
        </w:tc>
        <w:tc>
          <w:tcPr>
            <w:tcW w:w="490" w:type="pct"/>
            <w:shd w:val="clear" w:color="auto" w:fill="auto"/>
            <w:vAlign w:val="center"/>
          </w:tcPr>
          <w:p w14:paraId="01EF17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金台区太平堡城中村改造项目</w:t>
            </w:r>
          </w:p>
        </w:tc>
        <w:tc>
          <w:tcPr>
            <w:tcW w:w="2040" w:type="pct"/>
            <w:shd w:val="clear" w:color="auto" w:fill="auto"/>
            <w:vAlign w:val="center"/>
          </w:tcPr>
          <w:p w14:paraId="3774B9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占地300亩，拆迁面积10万平方米</w:t>
            </w:r>
          </w:p>
        </w:tc>
        <w:tc>
          <w:tcPr>
            <w:tcW w:w="460" w:type="pct"/>
            <w:shd w:val="clear" w:color="auto" w:fill="auto"/>
            <w:vAlign w:val="center"/>
          </w:tcPr>
          <w:p w14:paraId="69BC41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太平堡</w:t>
            </w:r>
          </w:p>
        </w:tc>
        <w:tc>
          <w:tcPr>
            <w:tcW w:w="374" w:type="pct"/>
            <w:shd w:val="clear" w:color="auto" w:fill="auto"/>
            <w:vAlign w:val="center"/>
          </w:tcPr>
          <w:p w14:paraId="20835E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653AC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0D0200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39798C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55D3F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1DCB25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47186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12ADBC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47</w:t>
            </w:r>
          </w:p>
        </w:tc>
        <w:tc>
          <w:tcPr>
            <w:tcW w:w="490" w:type="pct"/>
            <w:shd w:val="clear" w:color="auto" w:fill="auto"/>
            <w:vAlign w:val="center"/>
          </w:tcPr>
          <w:p w14:paraId="671E71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金台区长青村片区城中村改造项目</w:t>
            </w:r>
          </w:p>
        </w:tc>
        <w:tc>
          <w:tcPr>
            <w:tcW w:w="2040" w:type="pct"/>
            <w:shd w:val="clear" w:color="auto" w:fill="auto"/>
            <w:vAlign w:val="center"/>
          </w:tcPr>
          <w:p w14:paraId="368E4A7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建设集住宅，商业，休闲娱乐于一体的城市综合体，总建筑面积35万平方米</w:t>
            </w:r>
          </w:p>
        </w:tc>
        <w:tc>
          <w:tcPr>
            <w:tcW w:w="460" w:type="pct"/>
            <w:shd w:val="clear" w:color="auto" w:fill="auto"/>
            <w:vAlign w:val="center"/>
          </w:tcPr>
          <w:p w14:paraId="195984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西关长青村</w:t>
            </w:r>
          </w:p>
        </w:tc>
        <w:tc>
          <w:tcPr>
            <w:tcW w:w="374" w:type="pct"/>
            <w:shd w:val="clear" w:color="auto" w:fill="auto"/>
            <w:vAlign w:val="center"/>
          </w:tcPr>
          <w:p w14:paraId="06C8E6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2020-2024</w:t>
            </w:r>
          </w:p>
        </w:tc>
        <w:tc>
          <w:tcPr>
            <w:tcW w:w="321" w:type="pct"/>
            <w:shd w:val="clear" w:color="auto" w:fill="auto"/>
            <w:vAlign w:val="center"/>
          </w:tcPr>
          <w:p w14:paraId="00C74BB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45D394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229809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55557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0A1FFB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6EF20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675874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48</w:t>
            </w:r>
          </w:p>
        </w:tc>
        <w:tc>
          <w:tcPr>
            <w:tcW w:w="490" w:type="pct"/>
            <w:shd w:val="clear" w:color="auto" w:fill="auto"/>
            <w:vAlign w:val="center"/>
          </w:tcPr>
          <w:p w14:paraId="4786C0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金台区市府巷片区棚户区改造项目</w:t>
            </w:r>
          </w:p>
        </w:tc>
        <w:tc>
          <w:tcPr>
            <w:tcW w:w="2040" w:type="pct"/>
            <w:shd w:val="clear" w:color="auto" w:fill="auto"/>
            <w:vAlign w:val="center"/>
          </w:tcPr>
          <w:p w14:paraId="03388BB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6AFCFB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金台区市府巷</w:t>
            </w:r>
          </w:p>
        </w:tc>
        <w:tc>
          <w:tcPr>
            <w:tcW w:w="374" w:type="pct"/>
            <w:shd w:val="clear" w:color="auto" w:fill="auto"/>
            <w:vAlign w:val="center"/>
          </w:tcPr>
          <w:p w14:paraId="4B57E7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6CD351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4CB4A3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754BB7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824CE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中山西路街道办事处</w:t>
            </w:r>
          </w:p>
        </w:tc>
      </w:tr>
      <w:tr w14:paraId="70AEE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1C1FBE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249</w:t>
            </w:r>
          </w:p>
        </w:tc>
        <w:tc>
          <w:tcPr>
            <w:tcW w:w="490" w:type="pct"/>
            <w:shd w:val="clear" w:color="auto" w:fill="auto"/>
            <w:vAlign w:val="center"/>
          </w:tcPr>
          <w:p w14:paraId="0A59DE8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金台区兰花苑片区棚户区改造项目</w:t>
            </w:r>
          </w:p>
        </w:tc>
        <w:tc>
          <w:tcPr>
            <w:tcW w:w="2040" w:type="pct"/>
            <w:shd w:val="clear" w:color="auto" w:fill="auto"/>
            <w:vAlign w:val="center"/>
          </w:tcPr>
          <w:p w14:paraId="646CC94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建设集住宅，商业，休闲娱乐于一体的城市综合体，总建筑面积</w:t>
            </w:r>
            <w:r>
              <w:rPr>
                <w:rFonts w:ascii="仿宋_GB2312" w:hAnsi="宋体" w:eastAsia="仿宋_GB2312" w:cs="宋体"/>
                <w:kern w:val="0"/>
                <w:sz w:val="20"/>
                <w:szCs w:val="20"/>
              </w:rPr>
              <w:t>10.9万平方米</w:t>
            </w:r>
          </w:p>
        </w:tc>
        <w:tc>
          <w:tcPr>
            <w:tcW w:w="460" w:type="pct"/>
            <w:shd w:val="clear" w:color="auto" w:fill="auto"/>
            <w:vAlign w:val="center"/>
          </w:tcPr>
          <w:p w14:paraId="006877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金台区新福路</w:t>
            </w:r>
          </w:p>
        </w:tc>
        <w:tc>
          <w:tcPr>
            <w:tcW w:w="374" w:type="pct"/>
            <w:shd w:val="clear" w:color="auto" w:fill="auto"/>
            <w:vAlign w:val="center"/>
          </w:tcPr>
          <w:p w14:paraId="21537D84">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046E21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719340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6A94C2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62601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西关街道</w:t>
            </w:r>
          </w:p>
          <w:p w14:paraId="3C59A744">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办事处</w:t>
            </w:r>
          </w:p>
        </w:tc>
      </w:tr>
      <w:tr w14:paraId="7F73C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110725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250</w:t>
            </w:r>
          </w:p>
        </w:tc>
        <w:tc>
          <w:tcPr>
            <w:tcW w:w="490" w:type="pct"/>
            <w:shd w:val="clear" w:color="auto" w:fill="auto"/>
            <w:vAlign w:val="center"/>
          </w:tcPr>
          <w:p w14:paraId="3D1568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金台区新维巷片区旧城改造项目</w:t>
            </w:r>
          </w:p>
        </w:tc>
        <w:tc>
          <w:tcPr>
            <w:tcW w:w="2040" w:type="pct"/>
            <w:shd w:val="clear" w:color="auto" w:fill="auto"/>
            <w:vAlign w:val="center"/>
          </w:tcPr>
          <w:p w14:paraId="7B02DB8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总建筑面积</w:t>
            </w:r>
            <w:r>
              <w:rPr>
                <w:rFonts w:ascii="仿宋_GB2312" w:hAnsi="宋体" w:eastAsia="仿宋_GB2312" w:cs="宋体"/>
                <w:kern w:val="0"/>
                <w:sz w:val="20"/>
                <w:szCs w:val="20"/>
              </w:rPr>
              <w:t>52万平方米，新建高层住宅，商业配套、公共设施、绿化、管网改造等</w:t>
            </w:r>
          </w:p>
        </w:tc>
        <w:tc>
          <w:tcPr>
            <w:tcW w:w="460" w:type="pct"/>
            <w:shd w:val="clear" w:color="auto" w:fill="auto"/>
            <w:vAlign w:val="center"/>
          </w:tcPr>
          <w:p w14:paraId="0C5AE5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金台区西街</w:t>
            </w:r>
          </w:p>
        </w:tc>
        <w:tc>
          <w:tcPr>
            <w:tcW w:w="374" w:type="pct"/>
            <w:shd w:val="clear" w:color="auto" w:fill="auto"/>
            <w:vAlign w:val="center"/>
          </w:tcPr>
          <w:p w14:paraId="7DE5D1C4">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2022-2024</w:t>
            </w:r>
          </w:p>
        </w:tc>
        <w:tc>
          <w:tcPr>
            <w:tcW w:w="321" w:type="pct"/>
            <w:shd w:val="clear" w:color="auto" w:fill="auto"/>
            <w:vAlign w:val="center"/>
          </w:tcPr>
          <w:p w14:paraId="20C281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77" w:type="pct"/>
            <w:shd w:val="clear" w:color="auto" w:fill="auto"/>
            <w:vAlign w:val="center"/>
          </w:tcPr>
          <w:p w14:paraId="50759AF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r>
              <w:rPr>
                <w:rFonts w:ascii="仿宋_GB2312" w:hAnsi="宋体" w:eastAsia="仿宋_GB2312" w:cs="宋体"/>
                <w:kern w:val="0"/>
                <w:sz w:val="20"/>
                <w:szCs w:val="20"/>
              </w:rPr>
              <w:t>.8</w:t>
            </w:r>
          </w:p>
        </w:tc>
        <w:tc>
          <w:tcPr>
            <w:tcW w:w="319" w:type="pct"/>
            <w:shd w:val="clear" w:color="auto" w:fill="auto"/>
            <w:vAlign w:val="center"/>
          </w:tcPr>
          <w:p w14:paraId="50E2DA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BD26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中山西路街道办事处</w:t>
            </w:r>
          </w:p>
        </w:tc>
      </w:tr>
      <w:tr w14:paraId="094C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2D64C0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251</w:t>
            </w:r>
          </w:p>
        </w:tc>
        <w:tc>
          <w:tcPr>
            <w:tcW w:w="490" w:type="pct"/>
            <w:shd w:val="clear" w:color="auto" w:fill="auto"/>
            <w:vAlign w:val="center"/>
          </w:tcPr>
          <w:p w14:paraId="76D766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金台区北首岭片区城市综合体项目</w:t>
            </w:r>
          </w:p>
        </w:tc>
        <w:tc>
          <w:tcPr>
            <w:tcW w:w="2040" w:type="pct"/>
            <w:shd w:val="clear" w:color="auto" w:fill="auto"/>
            <w:vAlign w:val="center"/>
          </w:tcPr>
          <w:p w14:paraId="5B8D47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宗地包括东西两块，规划用地性质为文物古迹用地，商业、绿地和公共服务设施用地，并建设北首岭遗址和老旧小区改造等</w:t>
            </w:r>
          </w:p>
        </w:tc>
        <w:tc>
          <w:tcPr>
            <w:tcW w:w="460" w:type="pct"/>
            <w:shd w:val="clear" w:color="auto" w:fill="auto"/>
            <w:vAlign w:val="center"/>
          </w:tcPr>
          <w:p w14:paraId="3285A8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群众路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金陵东路</w:t>
            </w:r>
          </w:p>
          <w:p w14:paraId="5FF950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7AB384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1F6C4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77" w:type="pct"/>
            <w:shd w:val="clear" w:color="auto" w:fill="auto"/>
            <w:vAlign w:val="center"/>
          </w:tcPr>
          <w:p w14:paraId="255BD9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w:t>
            </w:r>
          </w:p>
        </w:tc>
        <w:tc>
          <w:tcPr>
            <w:tcW w:w="319" w:type="pct"/>
            <w:shd w:val="clear" w:color="auto" w:fill="auto"/>
            <w:vAlign w:val="center"/>
          </w:tcPr>
          <w:p w14:paraId="66EBF1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91BAA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3B117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668CA4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252</w:t>
            </w:r>
          </w:p>
        </w:tc>
        <w:tc>
          <w:tcPr>
            <w:tcW w:w="490" w:type="pct"/>
            <w:shd w:val="clear" w:color="auto" w:fill="auto"/>
            <w:vAlign w:val="center"/>
          </w:tcPr>
          <w:p w14:paraId="260F732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金台区群众路片区旧城改造项目</w:t>
            </w:r>
          </w:p>
        </w:tc>
        <w:tc>
          <w:tcPr>
            <w:tcW w:w="2040" w:type="pct"/>
            <w:shd w:val="clear" w:color="auto" w:fill="auto"/>
            <w:vAlign w:val="center"/>
          </w:tcPr>
          <w:p w14:paraId="238554D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对柳沟村、北庵村等群众路片区进行改造，建设集住宅，商业，休闲娱乐于一体的城市综合体，总建筑面积约500万平方米</w:t>
            </w:r>
          </w:p>
        </w:tc>
        <w:tc>
          <w:tcPr>
            <w:tcW w:w="460" w:type="pct"/>
            <w:shd w:val="clear" w:color="auto" w:fill="auto"/>
            <w:vAlign w:val="center"/>
          </w:tcPr>
          <w:p w14:paraId="12C386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群众路</w:t>
            </w:r>
          </w:p>
        </w:tc>
        <w:tc>
          <w:tcPr>
            <w:tcW w:w="374" w:type="pct"/>
            <w:shd w:val="clear" w:color="auto" w:fill="auto"/>
            <w:vAlign w:val="center"/>
          </w:tcPr>
          <w:p w14:paraId="43554D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61335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77" w:type="pct"/>
            <w:shd w:val="clear" w:color="auto" w:fill="auto"/>
            <w:vAlign w:val="center"/>
          </w:tcPr>
          <w:p w14:paraId="636282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45</w:t>
            </w:r>
          </w:p>
        </w:tc>
        <w:tc>
          <w:tcPr>
            <w:tcW w:w="319" w:type="pct"/>
            <w:shd w:val="clear" w:color="auto" w:fill="auto"/>
            <w:vAlign w:val="center"/>
          </w:tcPr>
          <w:p w14:paraId="382838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C758D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445C0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5E6BE9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253</w:t>
            </w:r>
          </w:p>
        </w:tc>
        <w:tc>
          <w:tcPr>
            <w:tcW w:w="490" w:type="pct"/>
            <w:shd w:val="clear" w:color="auto" w:fill="auto"/>
            <w:vAlign w:val="center"/>
          </w:tcPr>
          <w:p w14:paraId="6B7F71F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金台区宝平路片区旧城改造项目</w:t>
            </w:r>
          </w:p>
        </w:tc>
        <w:tc>
          <w:tcPr>
            <w:tcW w:w="2040" w:type="pct"/>
            <w:shd w:val="clear" w:color="auto" w:fill="auto"/>
            <w:vAlign w:val="center"/>
          </w:tcPr>
          <w:p w14:paraId="5DED0C5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占地约300亩，对五星村、八里村、消防厂等进行改造，建设集住宅，商业，休闲娱乐于一体的城市综合体</w:t>
            </w:r>
          </w:p>
        </w:tc>
        <w:tc>
          <w:tcPr>
            <w:tcW w:w="460" w:type="pct"/>
            <w:shd w:val="clear" w:color="auto" w:fill="auto"/>
            <w:vAlign w:val="center"/>
          </w:tcPr>
          <w:p w14:paraId="63173B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宝平路</w:t>
            </w:r>
          </w:p>
        </w:tc>
        <w:tc>
          <w:tcPr>
            <w:tcW w:w="374" w:type="pct"/>
            <w:shd w:val="clear" w:color="auto" w:fill="auto"/>
            <w:vAlign w:val="center"/>
          </w:tcPr>
          <w:p w14:paraId="2A28CE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EED53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78FC65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448B93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62346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群众路街道办事处</w:t>
            </w:r>
          </w:p>
        </w:tc>
      </w:tr>
      <w:tr w14:paraId="3585F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shd w:val="clear" w:color="auto" w:fill="auto"/>
            <w:vAlign w:val="center"/>
          </w:tcPr>
          <w:p w14:paraId="249AED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54</w:t>
            </w:r>
          </w:p>
        </w:tc>
        <w:tc>
          <w:tcPr>
            <w:tcW w:w="490" w:type="pct"/>
            <w:shd w:val="clear" w:color="auto" w:fill="auto"/>
            <w:vAlign w:val="center"/>
          </w:tcPr>
          <w:p w14:paraId="519AF492">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金台区联盟五组汽配城城中村改造项目</w:t>
            </w:r>
          </w:p>
        </w:tc>
        <w:tc>
          <w:tcPr>
            <w:tcW w:w="2040" w:type="pct"/>
            <w:shd w:val="clear" w:color="auto" w:fill="auto"/>
            <w:vAlign w:val="center"/>
          </w:tcPr>
          <w:p w14:paraId="74C0C2A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规划建筑面积7.26万平方米，新建集住宅、商业、休闲娱乐于一体的城市综合体</w:t>
            </w:r>
          </w:p>
        </w:tc>
        <w:tc>
          <w:tcPr>
            <w:tcW w:w="460" w:type="pct"/>
            <w:shd w:val="clear" w:color="auto" w:fill="auto"/>
            <w:vAlign w:val="center"/>
          </w:tcPr>
          <w:p w14:paraId="4ABD30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金台大道以北</w:t>
            </w:r>
          </w:p>
        </w:tc>
        <w:tc>
          <w:tcPr>
            <w:tcW w:w="374" w:type="pct"/>
            <w:shd w:val="clear" w:color="auto" w:fill="auto"/>
            <w:vAlign w:val="center"/>
          </w:tcPr>
          <w:p w14:paraId="5A0CEC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E986B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5B7E57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C9011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164BFB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陈仓镇</w:t>
            </w:r>
          </w:p>
        </w:tc>
      </w:tr>
      <w:tr w14:paraId="3DED9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1" w:hRule="atLeast"/>
        </w:trPr>
        <w:tc>
          <w:tcPr>
            <w:tcW w:w="225" w:type="pct"/>
            <w:shd w:val="clear" w:color="auto" w:fill="auto"/>
            <w:vAlign w:val="center"/>
          </w:tcPr>
          <w:p w14:paraId="79DA15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255</w:t>
            </w:r>
          </w:p>
        </w:tc>
        <w:tc>
          <w:tcPr>
            <w:tcW w:w="490" w:type="pct"/>
            <w:shd w:val="clear" w:color="auto" w:fill="auto"/>
            <w:vAlign w:val="center"/>
          </w:tcPr>
          <w:p w14:paraId="5638C0DA">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东仁新城D区新建项目</w:t>
            </w:r>
          </w:p>
        </w:tc>
        <w:tc>
          <w:tcPr>
            <w:tcW w:w="2040" w:type="pct"/>
            <w:shd w:val="clear" w:color="auto" w:fill="auto"/>
            <w:vAlign w:val="center"/>
          </w:tcPr>
          <w:p w14:paraId="6B8C0FD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新建住宅、商业</w:t>
            </w:r>
            <w:r>
              <w:rPr>
                <w:rFonts w:ascii="仿宋_GB2312" w:hAnsi="宋体" w:eastAsia="仿宋_GB2312" w:cs="宋体"/>
                <w:kern w:val="0"/>
                <w:sz w:val="20"/>
                <w:szCs w:val="20"/>
              </w:rPr>
              <w:t>38400平方米，配套水电气暖等设施</w:t>
            </w:r>
          </w:p>
        </w:tc>
        <w:tc>
          <w:tcPr>
            <w:tcW w:w="460" w:type="pct"/>
            <w:shd w:val="clear" w:color="auto" w:fill="auto"/>
            <w:vAlign w:val="center"/>
          </w:tcPr>
          <w:p w14:paraId="785527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人民路</w:t>
            </w:r>
          </w:p>
        </w:tc>
        <w:tc>
          <w:tcPr>
            <w:tcW w:w="374" w:type="pct"/>
            <w:shd w:val="clear" w:color="auto" w:fill="auto"/>
            <w:vAlign w:val="center"/>
          </w:tcPr>
          <w:p w14:paraId="12F58791">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2021-2025</w:t>
            </w:r>
          </w:p>
        </w:tc>
        <w:tc>
          <w:tcPr>
            <w:tcW w:w="321" w:type="pct"/>
            <w:shd w:val="clear" w:color="auto" w:fill="auto"/>
            <w:vAlign w:val="center"/>
          </w:tcPr>
          <w:p w14:paraId="697CB2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77" w:type="pct"/>
            <w:shd w:val="clear" w:color="auto" w:fill="auto"/>
            <w:vAlign w:val="center"/>
          </w:tcPr>
          <w:p w14:paraId="6AE0C5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r>
              <w:rPr>
                <w:rFonts w:ascii="仿宋_GB2312" w:hAnsi="宋体" w:eastAsia="仿宋_GB2312" w:cs="宋体"/>
                <w:kern w:val="0"/>
                <w:sz w:val="20"/>
                <w:szCs w:val="20"/>
              </w:rPr>
              <w:t>.5</w:t>
            </w:r>
          </w:p>
        </w:tc>
        <w:tc>
          <w:tcPr>
            <w:tcW w:w="319" w:type="pct"/>
            <w:shd w:val="clear" w:color="auto" w:fill="auto"/>
            <w:vAlign w:val="center"/>
          </w:tcPr>
          <w:p w14:paraId="5BEFD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3F529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03F8E3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255F5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0FC8F7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256</w:t>
            </w:r>
          </w:p>
        </w:tc>
        <w:tc>
          <w:tcPr>
            <w:tcW w:w="490" w:type="pct"/>
            <w:shd w:val="clear" w:color="auto" w:fill="auto"/>
            <w:vAlign w:val="center"/>
          </w:tcPr>
          <w:p w14:paraId="4945DC4B">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金台区货场路棚户区改造项目</w:t>
            </w:r>
          </w:p>
        </w:tc>
        <w:tc>
          <w:tcPr>
            <w:tcW w:w="2040" w:type="pct"/>
            <w:shd w:val="clear" w:color="auto" w:fill="auto"/>
            <w:vAlign w:val="center"/>
          </w:tcPr>
          <w:p w14:paraId="5230F5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w:t>
            </w:r>
            <w:r>
              <w:rPr>
                <w:rFonts w:ascii="仿宋_GB2312" w:hAnsi="宋体" w:eastAsia="仿宋_GB2312" w:cs="宋体"/>
                <w:kern w:val="0"/>
                <w:sz w:val="20"/>
                <w:szCs w:val="20"/>
              </w:rPr>
              <w:t>105792.3平方米</w:t>
            </w:r>
          </w:p>
        </w:tc>
        <w:tc>
          <w:tcPr>
            <w:tcW w:w="460" w:type="pct"/>
            <w:shd w:val="clear" w:color="auto" w:fill="auto"/>
            <w:vAlign w:val="center"/>
          </w:tcPr>
          <w:p w14:paraId="6277C7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货场路</w:t>
            </w:r>
          </w:p>
        </w:tc>
        <w:tc>
          <w:tcPr>
            <w:tcW w:w="374" w:type="pct"/>
            <w:shd w:val="clear" w:color="auto" w:fill="auto"/>
            <w:vAlign w:val="center"/>
          </w:tcPr>
          <w:p w14:paraId="1898B7B5">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2021-2024</w:t>
            </w:r>
          </w:p>
        </w:tc>
        <w:tc>
          <w:tcPr>
            <w:tcW w:w="321" w:type="pct"/>
            <w:shd w:val="clear" w:color="auto" w:fill="auto"/>
            <w:vAlign w:val="center"/>
          </w:tcPr>
          <w:p w14:paraId="774E1D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612EFD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46D797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BF1AF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r>
              <w:rPr>
                <w:rFonts w:ascii="仿宋_GB2312" w:hAnsi="宋体" w:eastAsia="仿宋_GB2312" w:cs="宋体"/>
                <w:kern w:val="0"/>
                <w:sz w:val="20"/>
                <w:szCs w:val="20"/>
              </w:rPr>
              <w:t xml:space="preserve">      </w:t>
            </w:r>
          </w:p>
          <w:p w14:paraId="27F626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中山东路街道办事处</w:t>
            </w:r>
          </w:p>
        </w:tc>
      </w:tr>
      <w:tr w14:paraId="57E07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4BF216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257</w:t>
            </w:r>
          </w:p>
        </w:tc>
        <w:tc>
          <w:tcPr>
            <w:tcW w:w="490" w:type="pct"/>
            <w:shd w:val="clear" w:color="auto" w:fill="auto"/>
            <w:vAlign w:val="center"/>
          </w:tcPr>
          <w:p w14:paraId="68F5660F">
            <w:pPr>
              <w:adjustRightInd w:val="0"/>
              <w:snapToGrid w:val="0"/>
              <w:jc w:val="center"/>
              <w:rPr>
                <w:rFonts w:ascii="仿宋_GB2312" w:hAnsi="仿宋_GB2312" w:eastAsia="仿宋_GB2312" w:cs="仿宋_GB2312"/>
                <w:spacing w:val="-6"/>
                <w:kern w:val="0"/>
                <w:sz w:val="20"/>
                <w:szCs w:val="20"/>
              </w:rPr>
            </w:pPr>
            <w:r>
              <w:rPr>
                <w:rFonts w:hint="eastAsia" w:ascii="仿宋_GB2312" w:hAnsi="仿宋_GB2312" w:eastAsia="仿宋_GB2312" w:cs="仿宋_GB2312"/>
                <w:spacing w:val="-6"/>
                <w:kern w:val="0"/>
                <w:sz w:val="20"/>
                <w:szCs w:val="20"/>
              </w:rPr>
              <w:t>金台区蜂业公司片区棚改项目</w:t>
            </w:r>
          </w:p>
        </w:tc>
        <w:tc>
          <w:tcPr>
            <w:tcW w:w="2040" w:type="pct"/>
            <w:shd w:val="clear" w:color="auto" w:fill="auto"/>
            <w:vAlign w:val="center"/>
          </w:tcPr>
          <w:p w14:paraId="3EE902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规划建筑面积12万平方米，新建集住宅，商业，休闲娱乐于一体的城市综合体</w:t>
            </w:r>
          </w:p>
        </w:tc>
        <w:tc>
          <w:tcPr>
            <w:tcW w:w="460" w:type="pct"/>
            <w:shd w:val="clear" w:color="auto" w:fill="auto"/>
            <w:vAlign w:val="center"/>
          </w:tcPr>
          <w:p w14:paraId="7FEEC3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北环路</w:t>
            </w:r>
          </w:p>
        </w:tc>
        <w:tc>
          <w:tcPr>
            <w:tcW w:w="374" w:type="pct"/>
            <w:shd w:val="clear" w:color="auto" w:fill="auto"/>
            <w:vAlign w:val="center"/>
          </w:tcPr>
          <w:p w14:paraId="408B99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877E4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27C4C3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1C2056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ABBFB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陈仓镇人民政府</w:t>
            </w:r>
          </w:p>
        </w:tc>
      </w:tr>
      <w:tr w14:paraId="77093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0" w:hRule="atLeast"/>
        </w:trPr>
        <w:tc>
          <w:tcPr>
            <w:tcW w:w="225" w:type="pct"/>
            <w:shd w:val="clear" w:color="auto" w:fill="auto"/>
            <w:vAlign w:val="center"/>
          </w:tcPr>
          <w:p w14:paraId="628D80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258</w:t>
            </w:r>
          </w:p>
        </w:tc>
        <w:tc>
          <w:tcPr>
            <w:tcW w:w="490" w:type="pct"/>
            <w:shd w:val="clear" w:color="auto" w:fill="auto"/>
            <w:vAlign w:val="center"/>
          </w:tcPr>
          <w:p w14:paraId="24084929">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金台区航天泵业片区棚户区改造项目</w:t>
            </w:r>
          </w:p>
        </w:tc>
        <w:tc>
          <w:tcPr>
            <w:tcW w:w="2040" w:type="pct"/>
            <w:shd w:val="clear" w:color="auto" w:fill="auto"/>
            <w:vAlign w:val="center"/>
          </w:tcPr>
          <w:p w14:paraId="3B68371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w:t>
            </w:r>
          </w:p>
        </w:tc>
        <w:tc>
          <w:tcPr>
            <w:tcW w:w="460" w:type="pct"/>
            <w:shd w:val="clear" w:color="auto" w:fill="auto"/>
            <w:vAlign w:val="center"/>
          </w:tcPr>
          <w:p w14:paraId="5F24D9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人民街</w:t>
            </w:r>
          </w:p>
        </w:tc>
        <w:tc>
          <w:tcPr>
            <w:tcW w:w="374" w:type="pct"/>
            <w:shd w:val="clear" w:color="auto" w:fill="auto"/>
            <w:vAlign w:val="center"/>
          </w:tcPr>
          <w:p w14:paraId="0F1C8C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2022-2025</w:t>
            </w:r>
          </w:p>
        </w:tc>
        <w:tc>
          <w:tcPr>
            <w:tcW w:w="321" w:type="pct"/>
            <w:shd w:val="clear" w:color="auto" w:fill="auto"/>
            <w:vAlign w:val="center"/>
          </w:tcPr>
          <w:p w14:paraId="7F9F6B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77" w:type="pct"/>
            <w:shd w:val="clear" w:color="auto" w:fill="auto"/>
            <w:vAlign w:val="center"/>
          </w:tcPr>
          <w:p w14:paraId="2D97E2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w:t>
            </w:r>
          </w:p>
        </w:tc>
        <w:tc>
          <w:tcPr>
            <w:tcW w:w="319" w:type="pct"/>
            <w:shd w:val="clear" w:color="auto" w:fill="auto"/>
            <w:vAlign w:val="center"/>
          </w:tcPr>
          <w:p w14:paraId="33E9FD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1DCC4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中山东路街道办事处</w:t>
            </w:r>
          </w:p>
        </w:tc>
      </w:tr>
      <w:tr w14:paraId="1713E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50CCA2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259</w:t>
            </w:r>
          </w:p>
        </w:tc>
        <w:tc>
          <w:tcPr>
            <w:tcW w:w="490" w:type="pct"/>
            <w:shd w:val="clear" w:color="auto" w:fill="auto"/>
            <w:vAlign w:val="center"/>
          </w:tcPr>
          <w:p w14:paraId="2EC7DE55">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金台区雲熙一品项目</w:t>
            </w:r>
          </w:p>
        </w:tc>
        <w:tc>
          <w:tcPr>
            <w:tcW w:w="2040" w:type="pct"/>
            <w:shd w:val="clear" w:color="auto" w:fill="auto"/>
            <w:vAlign w:val="center"/>
          </w:tcPr>
          <w:p w14:paraId="5E8F7A8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占地约217亩（片区一占地206.77亩，片区二占地10.234亩），拟建总建筑面积40万平方米；其中：地上建筑面积32万平方米、地下人防及车库建筑面积约8万平方米</w:t>
            </w:r>
          </w:p>
        </w:tc>
        <w:tc>
          <w:tcPr>
            <w:tcW w:w="460" w:type="pct"/>
            <w:shd w:val="clear" w:color="auto" w:fill="auto"/>
            <w:vAlign w:val="center"/>
          </w:tcPr>
          <w:p w14:paraId="0DF9D9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1B6CF6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B58DC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57A53A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71D05E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D7746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东风路街道办事处</w:t>
            </w:r>
          </w:p>
        </w:tc>
      </w:tr>
      <w:tr w14:paraId="4364A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55332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260</w:t>
            </w:r>
          </w:p>
        </w:tc>
        <w:tc>
          <w:tcPr>
            <w:tcW w:w="490" w:type="pct"/>
            <w:shd w:val="clear" w:color="auto" w:fill="auto"/>
            <w:vAlign w:val="center"/>
          </w:tcPr>
          <w:p w14:paraId="4B341AB1">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金台区高家坪改造项目</w:t>
            </w:r>
          </w:p>
        </w:tc>
        <w:tc>
          <w:tcPr>
            <w:tcW w:w="2040" w:type="pct"/>
            <w:shd w:val="clear" w:color="auto" w:fill="auto"/>
            <w:vAlign w:val="center"/>
          </w:tcPr>
          <w:p w14:paraId="1DBDB84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占地约617亩，总建筑面积约75万平方米，拟建住宅、商业及相关配套设施</w:t>
            </w:r>
          </w:p>
        </w:tc>
        <w:tc>
          <w:tcPr>
            <w:tcW w:w="460" w:type="pct"/>
            <w:shd w:val="clear" w:color="auto" w:fill="auto"/>
            <w:vAlign w:val="center"/>
          </w:tcPr>
          <w:p w14:paraId="61C157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金陵东路</w:t>
            </w:r>
          </w:p>
        </w:tc>
        <w:tc>
          <w:tcPr>
            <w:tcW w:w="374" w:type="pct"/>
            <w:shd w:val="clear" w:color="auto" w:fill="auto"/>
            <w:vAlign w:val="center"/>
          </w:tcPr>
          <w:p w14:paraId="599FB0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2023-2025</w:t>
            </w:r>
          </w:p>
        </w:tc>
        <w:tc>
          <w:tcPr>
            <w:tcW w:w="321" w:type="pct"/>
            <w:shd w:val="clear" w:color="auto" w:fill="auto"/>
            <w:vAlign w:val="center"/>
          </w:tcPr>
          <w:p w14:paraId="6FB863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77" w:type="pct"/>
            <w:shd w:val="clear" w:color="auto" w:fill="auto"/>
            <w:vAlign w:val="center"/>
          </w:tcPr>
          <w:p w14:paraId="64E792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18</w:t>
            </w:r>
          </w:p>
        </w:tc>
        <w:tc>
          <w:tcPr>
            <w:tcW w:w="319" w:type="pct"/>
            <w:shd w:val="clear" w:color="auto" w:fill="auto"/>
            <w:vAlign w:val="center"/>
          </w:tcPr>
          <w:p w14:paraId="60EDCA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053D34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中山东路街道办事处</w:t>
            </w:r>
          </w:p>
        </w:tc>
      </w:tr>
      <w:tr w14:paraId="5E82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93D59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261</w:t>
            </w:r>
          </w:p>
        </w:tc>
        <w:tc>
          <w:tcPr>
            <w:tcW w:w="490" w:type="pct"/>
            <w:shd w:val="clear" w:color="auto" w:fill="auto"/>
            <w:vAlign w:val="center"/>
          </w:tcPr>
          <w:p w14:paraId="4C0D9D5A">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金台区陈仓园片区城市综合体项目</w:t>
            </w:r>
          </w:p>
        </w:tc>
        <w:tc>
          <w:tcPr>
            <w:tcW w:w="2040" w:type="pct"/>
            <w:shd w:val="clear" w:color="auto" w:fill="auto"/>
            <w:vAlign w:val="center"/>
          </w:tcPr>
          <w:p w14:paraId="588715C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占地面积约170亩。宗地一原为联盟二组用地，面积约57亩；宗地二现为铁路小区用地，面积约73亩；宗地三现为宝商家美佳用地，面积约40亩；宗地四为石油机械厂40号、41号楼新建</w:t>
            </w:r>
          </w:p>
        </w:tc>
        <w:tc>
          <w:tcPr>
            <w:tcW w:w="460" w:type="pct"/>
            <w:shd w:val="clear" w:color="auto" w:fill="auto"/>
            <w:vAlign w:val="center"/>
          </w:tcPr>
          <w:p w14:paraId="194A97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p w14:paraId="6FD957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w:t>
            </w:r>
          </w:p>
        </w:tc>
        <w:tc>
          <w:tcPr>
            <w:tcW w:w="374" w:type="pct"/>
            <w:shd w:val="clear" w:color="auto" w:fill="auto"/>
            <w:vAlign w:val="center"/>
          </w:tcPr>
          <w:p w14:paraId="02F449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47CC3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77" w:type="pct"/>
            <w:shd w:val="clear" w:color="auto" w:fill="auto"/>
            <w:vAlign w:val="center"/>
          </w:tcPr>
          <w:p w14:paraId="152D53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65</w:t>
            </w:r>
          </w:p>
        </w:tc>
        <w:tc>
          <w:tcPr>
            <w:tcW w:w="319" w:type="pct"/>
            <w:shd w:val="clear" w:color="auto" w:fill="auto"/>
            <w:vAlign w:val="center"/>
          </w:tcPr>
          <w:p w14:paraId="5B4E54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6A6B3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东风路街道办事处        </w:t>
            </w:r>
            <w:r>
              <w:rPr>
                <w:rFonts w:hint="eastAsia" w:ascii="仿宋_GB2312" w:hAnsi="宋体" w:eastAsia="仿宋_GB2312" w:cs="宋体"/>
                <w:spacing w:val="-28"/>
                <w:kern w:val="0"/>
                <w:sz w:val="20"/>
                <w:szCs w:val="20"/>
              </w:rPr>
              <w:t>陈仓镇人民政府</w:t>
            </w:r>
          </w:p>
        </w:tc>
      </w:tr>
      <w:tr w14:paraId="09F66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1" w:hRule="atLeast"/>
        </w:trPr>
        <w:tc>
          <w:tcPr>
            <w:tcW w:w="225" w:type="pct"/>
            <w:shd w:val="clear" w:color="auto" w:fill="auto"/>
            <w:vAlign w:val="center"/>
          </w:tcPr>
          <w:p w14:paraId="384931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262</w:t>
            </w:r>
          </w:p>
        </w:tc>
        <w:tc>
          <w:tcPr>
            <w:tcW w:w="490" w:type="pct"/>
            <w:shd w:val="clear" w:color="auto" w:fill="auto"/>
            <w:vAlign w:val="center"/>
          </w:tcPr>
          <w:p w14:paraId="3553ABFF">
            <w:pPr>
              <w:adjustRightInd w:val="0"/>
              <w:snapToGrid w:val="0"/>
              <w:jc w:val="center"/>
              <w:rPr>
                <w:rFonts w:ascii="仿宋_GB2312" w:hAnsi="仿宋_GB2312" w:eastAsia="仿宋_GB2312" w:cs="仿宋_GB2312"/>
                <w:kern w:val="0"/>
                <w:sz w:val="20"/>
                <w:szCs w:val="20"/>
              </w:rPr>
            </w:pPr>
            <w:r>
              <w:rPr>
                <w:rFonts w:hint="eastAsia" w:ascii="仿宋_GB2312" w:hAnsi="仿宋_GB2312" w:eastAsia="仿宋_GB2312" w:cs="仿宋_GB2312"/>
                <w:kern w:val="0"/>
                <w:sz w:val="20"/>
                <w:szCs w:val="20"/>
              </w:rPr>
              <w:t>金台区金桥大成国际项目</w:t>
            </w:r>
          </w:p>
        </w:tc>
        <w:tc>
          <w:tcPr>
            <w:tcW w:w="2040" w:type="pct"/>
            <w:shd w:val="clear" w:color="auto" w:fill="auto"/>
            <w:vAlign w:val="center"/>
          </w:tcPr>
          <w:p w14:paraId="2B0663C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共建设6栋高层，建筑面积13.6万平方米，其中5栋高层住宅，1栋公寓式写字楼</w:t>
            </w:r>
          </w:p>
        </w:tc>
        <w:tc>
          <w:tcPr>
            <w:tcW w:w="460" w:type="pct"/>
            <w:shd w:val="clear" w:color="auto" w:fill="auto"/>
            <w:vAlign w:val="center"/>
          </w:tcPr>
          <w:p w14:paraId="4F72FC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金台大道26号</w:t>
            </w:r>
          </w:p>
        </w:tc>
        <w:tc>
          <w:tcPr>
            <w:tcW w:w="374" w:type="pct"/>
            <w:shd w:val="clear" w:color="auto" w:fill="auto"/>
            <w:vAlign w:val="center"/>
          </w:tcPr>
          <w:p w14:paraId="6543F0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7D12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16AB5C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5A6BED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AEA5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30242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0F4125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263</w:t>
            </w:r>
          </w:p>
        </w:tc>
        <w:tc>
          <w:tcPr>
            <w:tcW w:w="490" w:type="pct"/>
            <w:shd w:val="clear" w:color="auto" w:fill="auto"/>
            <w:vAlign w:val="center"/>
          </w:tcPr>
          <w:p w14:paraId="779313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金台区上锦华府住宅小区项目</w:t>
            </w:r>
          </w:p>
        </w:tc>
        <w:tc>
          <w:tcPr>
            <w:tcW w:w="2040" w:type="pct"/>
            <w:shd w:val="clear" w:color="auto" w:fill="auto"/>
            <w:vAlign w:val="center"/>
          </w:tcPr>
          <w:p w14:paraId="7D3B01C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规划总用地面积93.7亩，其中建设用地面积约79.034亩。建设12栋框架结构高层商住楼，总建筑面积约22万平方米，其中：住宅面积约20万平方米，商业建筑面积约2000平方米</w:t>
            </w:r>
          </w:p>
        </w:tc>
        <w:tc>
          <w:tcPr>
            <w:tcW w:w="460" w:type="pct"/>
            <w:shd w:val="clear" w:color="auto" w:fill="auto"/>
            <w:vAlign w:val="center"/>
          </w:tcPr>
          <w:p w14:paraId="1CBCF2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21AAE8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5EB43F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28A44A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52DE21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56ED8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707C5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134913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264</w:t>
            </w:r>
          </w:p>
        </w:tc>
        <w:tc>
          <w:tcPr>
            <w:tcW w:w="490" w:type="pct"/>
            <w:shd w:val="clear" w:color="auto" w:fill="auto"/>
            <w:vAlign w:val="center"/>
          </w:tcPr>
          <w:p w14:paraId="22D890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金台区东迅机电公司片区旧城改造项目</w:t>
            </w:r>
          </w:p>
        </w:tc>
        <w:tc>
          <w:tcPr>
            <w:tcW w:w="2040" w:type="pct"/>
            <w:shd w:val="clear" w:color="auto" w:fill="auto"/>
            <w:vAlign w:val="center"/>
          </w:tcPr>
          <w:p w14:paraId="0377B3E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新建集住宅，商业，休闲娱乐于一体的城市综合体，规划建筑面积23.25万平方米</w:t>
            </w:r>
          </w:p>
        </w:tc>
        <w:tc>
          <w:tcPr>
            <w:tcW w:w="460" w:type="pct"/>
            <w:shd w:val="clear" w:color="auto" w:fill="auto"/>
            <w:vAlign w:val="center"/>
          </w:tcPr>
          <w:p w14:paraId="5ACA0D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1E20D1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2020-2023</w:t>
            </w:r>
          </w:p>
        </w:tc>
        <w:tc>
          <w:tcPr>
            <w:tcW w:w="321" w:type="pct"/>
            <w:shd w:val="clear" w:color="auto" w:fill="auto"/>
            <w:vAlign w:val="center"/>
          </w:tcPr>
          <w:p w14:paraId="58F9CC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76CEBF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157FEF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EDB18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7729C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746222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265</w:t>
            </w:r>
          </w:p>
        </w:tc>
        <w:tc>
          <w:tcPr>
            <w:tcW w:w="490" w:type="pct"/>
            <w:shd w:val="clear" w:color="auto" w:fill="auto"/>
            <w:vAlign w:val="center"/>
          </w:tcPr>
          <w:p w14:paraId="66DD0D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东方逸舍项目</w:t>
            </w:r>
          </w:p>
        </w:tc>
        <w:tc>
          <w:tcPr>
            <w:tcW w:w="2040" w:type="pct"/>
            <w:shd w:val="clear" w:color="auto" w:fill="auto"/>
            <w:vAlign w:val="center"/>
          </w:tcPr>
          <w:p w14:paraId="5CB14EC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建设面积约4万平方米商住综合楼</w:t>
            </w:r>
          </w:p>
        </w:tc>
        <w:tc>
          <w:tcPr>
            <w:tcW w:w="460" w:type="pct"/>
            <w:shd w:val="clear" w:color="auto" w:fill="auto"/>
            <w:vAlign w:val="center"/>
          </w:tcPr>
          <w:p w14:paraId="7D18708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w:t>
            </w:r>
          </w:p>
        </w:tc>
        <w:tc>
          <w:tcPr>
            <w:tcW w:w="374" w:type="pct"/>
            <w:shd w:val="clear" w:color="auto" w:fill="auto"/>
            <w:vAlign w:val="center"/>
          </w:tcPr>
          <w:p w14:paraId="65C53B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14B064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74AFE2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05EC4A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D0E4E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东风路街道办事处</w:t>
            </w:r>
          </w:p>
        </w:tc>
      </w:tr>
      <w:tr w14:paraId="1666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7" w:hRule="atLeast"/>
        </w:trPr>
        <w:tc>
          <w:tcPr>
            <w:tcW w:w="225" w:type="pct"/>
            <w:shd w:val="clear" w:color="auto" w:fill="auto"/>
            <w:vAlign w:val="center"/>
          </w:tcPr>
          <w:p w14:paraId="18D528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266</w:t>
            </w:r>
          </w:p>
        </w:tc>
        <w:tc>
          <w:tcPr>
            <w:tcW w:w="490" w:type="pct"/>
            <w:shd w:val="clear" w:color="auto" w:fill="auto"/>
            <w:vAlign w:val="center"/>
          </w:tcPr>
          <w:p w14:paraId="61741B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李家崖村旧城改造项目</w:t>
            </w:r>
          </w:p>
        </w:tc>
        <w:tc>
          <w:tcPr>
            <w:tcW w:w="2040" w:type="pct"/>
            <w:shd w:val="clear" w:color="auto" w:fill="auto"/>
            <w:vAlign w:val="center"/>
          </w:tcPr>
          <w:p w14:paraId="7FEAAC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计划改造村民旧宅基地400余户，计划建筑面积35万平方米，新建高层住宅及小区配套建设项目</w:t>
            </w:r>
          </w:p>
        </w:tc>
        <w:tc>
          <w:tcPr>
            <w:tcW w:w="460" w:type="pct"/>
            <w:shd w:val="clear" w:color="auto" w:fill="auto"/>
            <w:vAlign w:val="center"/>
          </w:tcPr>
          <w:p w14:paraId="4008B9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李家崖村辖区内</w:t>
            </w:r>
          </w:p>
        </w:tc>
        <w:tc>
          <w:tcPr>
            <w:tcW w:w="374" w:type="pct"/>
            <w:shd w:val="clear" w:color="auto" w:fill="auto"/>
            <w:vAlign w:val="center"/>
          </w:tcPr>
          <w:p w14:paraId="1DAC1C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2022-2026</w:t>
            </w:r>
          </w:p>
        </w:tc>
        <w:tc>
          <w:tcPr>
            <w:tcW w:w="321" w:type="pct"/>
            <w:shd w:val="clear" w:color="auto" w:fill="auto"/>
            <w:vAlign w:val="center"/>
          </w:tcPr>
          <w:p w14:paraId="2E81A6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581B9D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7A7E7F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E8633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2802C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4" w:hRule="atLeast"/>
        </w:trPr>
        <w:tc>
          <w:tcPr>
            <w:tcW w:w="225" w:type="pct"/>
            <w:shd w:val="clear" w:color="auto" w:fill="auto"/>
            <w:vAlign w:val="center"/>
          </w:tcPr>
          <w:p w14:paraId="37167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267</w:t>
            </w:r>
          </w:p>
        </w:tc>
        <w:tc>
          <w:tcPr>
            <w:tcW w:w="490" w:type="pct"/>
            <w:shd w:val="clear" w:color="auto" w:fill="auto"/>
            <w:vAlign w:val="center"/>
          </w:tcPr>
          <w:p w14:paraId="34D847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金台区工农五七组城中村（棚户区）改造项目</w:t>
            </w:r>
          </w:p>
        </w:tc>
        <w:tc>
          <w:tcPr>
            <w:tcW w:w="2040" w:type="pct"/>
            <w:shd w:val="clear" w:color="auto" w:fill="auto"/>
            <w:vAlign w:val="center"/>
          </w:tcPr>
          <w:p w14:paraId="5492AEC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规划建筑面积40005平方米，新建集住宅，商业，休闲娱乐于一体的城市综合体</w:t>
            </w:r>
          </w:p>
        </w:tc>
        <w:tc>
          <w:tcPr>
            <w:tcW w:w="460" w:type="pct"/>
            <w:shd w:val="clear" w:color="auto" w:fill="auto"/>
            <w:vAlign w:val="center"/>
          </w:tcPr>
          <w:p w14:paraId="51832F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大庆路</w:t>
            </w:r>
          </w:p>
        </w:tc>
        <w:tc>
          <w:tcPr>
            <w:tcW w:w="374" w:type="pct"/>
            <w:shd w:val="clear" w:color="auto" w:fill="auto"/>
            <w:vAlign w:val="center"/>
          </w:tcPr>
          <w:p w14:paraId="6EE226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DE0C7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77" w:type="pct"/>
            <w:shd w:val="clear" w:color="auto" w:fill="auto"/>
            <w:vAlign w:val="center"/>
          </w:tcPr>
          <w:p w14:paraId="3D3F9F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1.3</w:t>
            </w:r>
          </w:p>
        </w:tc>
        <w:tc>
          <w:tcPr>
            <w:tcW w:w="319" w:type="pct"/>
            <w:shd w:val="clear" w:color="auto" w:fill="auto"/>
            <w:vAlign w:val="center"/>
          </w:tcPr>
          <w:p w14:paraId="6576F1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865C2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陈仓镇人民政府</w:t>
            </w:r>
          </w:p>
        </w:tc>
      </w:tr>
      <w:tr w14:paraId="6D4DF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5A93BB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268</w:t>
            </w:r>
          </w:p>
        </w:tc>
        <w:tc>
          <w:tcPr>
            <w:tcW w:w="490" w:type="pct"/>
            <w:shd w:val="clear" w:color="auto" w:fill="auto"/>
            <w:vAlign w:val="center"/>
          </w:tcPr>
          <w:p w14:paraId="00B6AD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金台区宏文路片区棚户区改造项目</w:t>
            </w:r>
          </w:p>
        </w:tc>
        <w:tc>
          <w:tcPr>
            <w:tcW w:w="2040" w:type="pct"/>
            <w:shd w:val="clear" w:color="auto" w:fill="auto"/>
            <w:vAlign w:val="center"/>
          </w:tcPr>
          <w:p w14:paraId="6BC7D3D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占地约200亩，新建集住宅，商业，休闲娱乐于一体的城市综合体，配套水、电、气、暖等设施</w:t>
            </w:r>
          </w:p>
        </w:tc>
        <w:tc>
          <w:tcPr>
            <w:tcW w:w="460" w:type="pct"/>
            <w:shd w:val="clear" w:color="auto" w:fill="auto"/>
            <w:vAlign w:val="center"/>
          </w:tcPr>
          <w:p w14:paraId="397EC7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6BD5BF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464F7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657982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19" w:type="pct"/>
            <w:shd w:val="clear" w:color="auto" w:fill="auto"/>
            <w:vAlign w:val="center"/>
          </w:tcPr>
          <w:p w14:paraId="7F7804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56B31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1A795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2" w:hRule="atLeast"/>
        </w:trPr>
        <w:tc>
          <w:tcPr>
            <w:tcW w:w="225" w:type="pct"/>
            <w:shd w:val="clear" w:color="auto" w:fill="auto"/>
            <w:vAlign w:val="center"/>
          </w:tcPr>
          <w:p w14:paraId="264942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269</w:t>
            </w:r>
          </w:p>
        </w:tc>
        <w:tc>
          <w:tcPr>
            <w:tcW w:w="490" w:type="pct"/>
            <w:shd w:val="clear" w:color="auto" w:fill="auto"/>
            <w:vAlign w:val="center"/>
          </w:tcPr>
          <w:p w14:paraId="1FF03C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金台区代家湾片区城市综合体项目</w:t>
            </w:r>
          </w:p>
        </w:tc>
        <w:tc>
          <w:tcPr>
            <w:tcW w:w="2040" w:type="pct"/>
            <w:shd w:val="clear" w:color="auto" w:fill="auto"/>
            <w:vAlign w:val="center"/>
          </w:tcPr>
          <w:p w14:paraId="147E82F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占地360亩（含昌荣纺织家属区等），拆迁面积22.5万平方米，建设高标准城市综合体</w:t>
            </w:r>
          </w:p>
        </w:tc>
        <w:tc>
          <w:tcPr>
            <w:tcW w:w="460" w:type="pct"/>
            <w:shd w:val="clear" w:color="auto" w:fill="auto"/>
            <w:vAlign w:val="center"/>
          </w:tcPr>
          <w:p w14:paraId="5D01A2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2B9ACB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577E4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77" w:type="pct"/>
            <w:shd w:val="clear" w:color="auto" w:fill="auto"/>
            <w:vAlign w:val="center"/>
          </w:tcPr>
          <w:p w14:paraId="5E8365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80</w:t>
            </w:r>
          </w:p>
        </w:tc>
        <w:tc>
          <w:tcPr>
            <w:tcW w:w="319" w:type="pct"/>
            <w:shd w:val="clear" w:color="auto" w:fill="auto"/>
            <w:vAlign w:val="center"/>
          </w:tcPr>
          <w:p w14:paraId="1B6DCE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6125C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1B7D8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4" w:hRule="atLeast"/>
        </w:trPr>
        <w:tc>
          <w:tcPr>
            <w:tcW w:w="225" w:type="pct"/>
            <w:shd w:val="clear" w:color="auto" w:fill="auto"/>
            <w:vAlign w:val="center"/>
          </w:tcPr>
          <w:p w14:paraId="702B027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270</w:t>
            </w:r>
          </w:p>
        </w:tc>
        <w:tc>
          <w:tcPr>
            <w:tcW w:w="490" w:type="pct"/>
            <w:shd w:val="clear" w:color="auto" w:fill="auto"/>
            <w:vAlign w:val="center"/>
          </w:tcPr>
          <w:p w14:paraId="42CAA1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金台区卧龙寺南坡村片区城市综合体项目</w:t>
            </w:r>
          </w:p>
        </w:tc>
        <w:tc>
          <w:tcPr>
            <w:tcW w:w="2040" w:type="pct"/>
            <w:shd w:val="clear" w:color="auto" w:fill="auto"/>
            <w:vAlign w:val="center"/>
          </w:tcPr>
          <w:p w14:paraId="4C66AF6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占地1000亩，拆迁面积30万平方米。新建集住宅、商贸、酒店、餐饮、娱乐为一体的商业综合体</w:t>
            </w:r>
          </w:p>
        </w:tc>
        <w:tc>
          <w:tcPr>
            <w:tcW w:w="460" w:type="pct"/>
            <w:shd w:val="clear" w:color="auto" w:fill="auto"/>
            <w:vAlign w:val="center"/>
          </w:tcPr>
          <w:p w14:paraId="6B3CFF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1125F4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2020-2025</w:t>
            </w:r>
          </w:p>
        </w:tc>
        <w:tc>
          <w:tcPr>
            <w:tcW w:w="321" w:type="pct"/>
            <w:shd w:val="clear" w:color="auto" w:fill="auto"/>
            <w:vAlign w:val="center"/>
          </w:tcPr>
          <w:p w14:paraId="402D91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100</w:t>
            </w:r>
          </w:p>
        </w:tc>
        <w:tc>
          <w:tcPr>
            <w:tcW w:w="377" w:type="pct"/>
            <w:shd w:val="clear" w:color="auto" w:fill="auto"/>
            <w:vAlign w:val="center"/>
          </w:tcPr>
          <w:p w14:paraId="701E8D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92</w:t>
            </w:r>
          </w:p>
        </w:tc>
        <w:tc>
          <w:tcPr>
            <w:tcW w:w="319" w:type="pct"/>
            <w:shd w:val="clear" w:color="auto" w:fill="auto"/>
            <w:vAlign w:val="center"/>
          </w:tcPr>
          <w:p w14:paraId="01EC10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9697F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2A018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2" w:hRule="atLeast"/>
        </w:trPr>
        <w:tc>
          <w:tcPr>
            <w:tcW w:w="225" w:type="pct"/>
            <w:shd w:val="clear" w:color="auto" w:fill="auto"/>
            <w:vAlign w:val="center"/>
          </w:tcPr>
          <w:p w14:paraId="4D6836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271</w:t>
            </w:r>
          </w:p>
        </w:tc>
        <w:tc>
          <w:tcPr>
            <w:tcW w:w="490" w:type="pct"/>
            <w:shd w:val="clear" w:color="auto" w:fill="auto"/>
            <w:vAlign w:val="center"/>
          </w:tcPr>
          <w:p w14:paraId="50E793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金台区卧龙寺龙丰村片区城市综合体</w:t>
            </w:r>
          </w:p>
        </w:tc>
        <w:tc>
          <w:tcPr>
            <w:tcW w:w="2040" w:type="pct"/>
            <w:shd w:val="clear" w:color="auto" w:fill="auto"/>
            <w:vAlign w:val="center"/>
          </w:tcPr>
          <w:p w14:paraId="50625EE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占地900亩，拆迁面积20.5万平方米，新建集住宅、商贸、建材、教育、酒店、餐饮、娱乐为一体的商业综合体</w:t>
            </w:r>
          </w:p>
        </w:tc>
        <w:tc>
          <w:tcPr>
            <w:tcW w:w="460" w:type="pct"/>
            <w:shd w:val="clear" w:color="auto" w:fill="auto"/>
            <w:vAlign w:val="center"/>
          </w:tcPr>
          <w:p w14:paraId="6D03051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陈仓大道</w:t>
            </w:r>
          </w:p>
        </w:tc>
        <w:tc>
          <w:tcPr>
            <w:tcW w:w="374" w:type="pct"/>
            <w:shd w:val="clear" w:color="auto" w:fill="auto"/>
            <w:vAlign w:val="center"/>
          </w:tcPr>
          <w:p w14:paraId="499BD5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19BE0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77" w:type="pct"/>
            <w:shd w:val="clear" w:color="auto" w:fill="auto"/>
            <w:vAlign w:val="center"/>
          </w:tcPr>
          <w:p w14:paraId="26A80B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75</w:t>
            </w:r>
          </w:p>
        </w:tc>
        <w:tc>
          <w:tcPr>
            <w:tcW w:w="319" w:type="pct"/>
            <w:shd w:val="clear" w:color="auto" w:fill="auto"/>
            <w:vAlign w:val="center"/>
          </w:tcPr>
          <w:p w14:paraId="5FCBB96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8B32F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卧龙寺街道办事处</w:t>
            </w:r>
          </w:p>
        </w:tc>
      </w:tr>
      <w:tr w14:paraId="67D19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8" w:hRule="atLeast"/>
        </w:trPr>
        <w:tc>
          <w:tcPr>
            <w:tcW w:w="225" w:type="pct"/>
            <w:shd w:val="clear" w:color="auto" w:fill="auto"/>
            <w:vAlign w:val="center"/>
          </w:tcPr>
          <w:p w14:paraId="5F7137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272</w:t>
            </w:r>
          </w:p>
        </w:tc>
        <w:tc>
          <w:tcPr>
            <w:tcW w:w="490" w:type="pct"/>
            <w:shd w:val="clear" w:color="auto" w:fill="auto"/>
            <w:vAlign w:val="center"/>
          </w:tcPr>
          <w:p w14:paraId="4EEE8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金台区星御山舍项目</w:t>
            </w:r>
          </w:p>
        </w:tc>
        <w:tc>
          <w:tcPr>
            <w:tcW w:w="2040" w:type="pct"/>
            <w:shd w:val="clear" w:color="auto" w:fill="auto"/>
            <w:vAlign w:val="center"/>
          </w:tcPr>
          <w:p w14:paraId="6164A79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占地148亩，总建筑面积16万平方米，建设精品住宅、康养人居、商业配套等</w:t>
            </w:r>
          </w:p>
        </w:tc>
        <w:tc>
          <w:tcPr>
            <w:tcW w:w="460" w:type="pct"/>
            <w:shd w:val="clear" w:color="auto" w:fill="auto"/>
            <w:vAlign w:val="center"/>
          </w:tcPr>
          <w:p w14:paraId="509545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w:t>
            </w:r>
          </w:p>
        </w:tc>
        <w:tc>
          <w:tcPr>
            <w:tcW w:w="374" w:type="pct"/>
            <w:shd w:val="clear" w:color="auto" w:fill="auto"/>
            <w:vAlign w:val="center"/>
          </w:tcPr>
          <w:p w14:paraId="249FFE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22CF1D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77" w:type="pct"/>
            <w:shd w:val="clear" w:color="auto" w:fill="auto"/>
            <w:vAlign w:val="center"/>
          </w:tcPr>
          <w:p w14:paraId="659110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7</w:t>
            </w:r>
          </w:p>
        </w:tc>
        <w:tc>
          <w:tcPr>
            <w:tcW w:w="319" w:type="pct"/>
            <w:shd w:val="clear" w:color="auto" w:fill="auto"/>
            <w:vAlign w:val="center"/>
          </w:tcPr>
          <w:p w14:paraId="26A608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2F0C5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08BAB5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5D83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shd w:val="clear" w:color="auto" w:fill="auto"/>
            <w:vAlign w:val="center"/>
          </w:tcPr>
          <w:p w14:paraId="661B0A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273</w:t>
            </w:r>
          </w:p>
        </w:tc>
        <w:tc>
          <w:tcPr>
            <w:tcW w:w="490" w:type="pct"/>
            <w:shd w:val="clear" w:color="auto" w:fill="auto"/>
            <w:vAlign w:val="center"/>
          </w:tcPr>
          <w:p w14:paraId="17394B25">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金台区翰林华府二期建设项目</w:t>
            </w:r>
          </w:p>
        </w:tc>
        <w:tc>
          <w:tcPr>
            <w:tcW w:w="2040" w:type="pct"/>
            <w:shd w:val="clear" w:color="auto" w:fill="auto"/>
            <w:vAlign w:val="center"/>
          </w:tcPr>
          <w:p w14:paraId="59DF2CD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建设2栋框架结构高层住宅楼，总建筑面积6.6万平方米，配套建设给排水、电力、燃气、绿化、热力等设施</w:t>
            </w:r>
          </w:p>
        </w:tc>
        <w:tc>
          <w:tcPr>
            <w:tcW w:w="460" w:type="pct"/>
            <w:shd w:val="clear" w:color="auto" w:fill="auto"/>
            <w:vAlign w:val="center"/>
          </w:tcPr>
          <w:p w14:paraId="364B0F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金台区大庆路</w:t>
            </w:r>
          </w:p>
        </w:tc>
        <w:tc>
          <w:tcPr>
            <w:tcW w:w="374" w:type="pct"/>
            <w:shd w:val="clear" w:color="auto" w:fill="auto"/>
            <w:vAlign w:val="center"/>
          </w:tcPr>
          <w:p w14:paraId="5F5F50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64D417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043645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19" w:type="pct"/>
            <w:shd w:val="clear" w:color="auto" w:fill="auto"/>
            <w:vAlign w:val="center"/>
          </w:tcPr>
          <w:p w14:paraId="76640D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244DAE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十里铺街道办事处</w:t>
            </w:r>
          </w:p>
        </w:tc>
      </w:tr>
      <w:tr w14:paraId="655E3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3C8A21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274</w:t>
            </w:r>
          </w:p>
        </w:tc>
        <w:tc>
          <w:tcPr>
            <w:tcW w:w="490" w:type="pct"/>
            <w:shd w:val="clear" w:color="auto" w:fill="auto"/>
            <w:vAlign w:val="center"/>
          </w:tcPr>
          <w:p w14:paraId="55DC43D0">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金台区湖滨公馆旧城改造项目</w:t>
            </w:r>
          </w:p>
        </w:tc>
        <w:tc>
          <w:tcPr>
            <w:tcW w:w="2040" w:type="pct"/>
            <w:shd w:val="clear" w:color="auto" w:fill="auto"/>
            <w:vAlign w:val="center"/>
          </w:tcPr>
          <w:p w14:paraId="28604D9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占地13551平方米，新建三栋25层框架结构的住宅楼，配套给排水，供电，供暖，燃气，消防等设施</w:t>
            </w:r>
          </w:p>
        </w:tc>
        <w:tc>
          <w:tcPr>
            <w:tcW w:w="460" w:type="pct"/>
            <w:shd w:val="clear" w:color="auto" w:fill="auto"/>
            <w:vAlign w:val="center"/>
          </w:tcPr>
          <w:p w14:paraId="231CE0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7DDCF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0EB522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77" w:type="pct"/>
            <w:shd w:val="clear" w:color="auto" w:fill="auto"/>
            <w:vAlign w:val="center"/>
          </w:tcPr>
          <w:p w14:paraId="4026EB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12BE694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39BBB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西关街道</w:t>
            </w:r>
          </w:p>
          <w:p w14:paraId="6BB38A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办事处</w:t>
            </w:r>
          </w:p>
        </w:tc>
      </w:tr>
      <w:tr w14:paraId="3D96B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2" w:hRule="atLeast"/>
        </w:trPr>
        <w:tc>
          <w:tcPr>
            <w:tcW w:w="225" w:type="pct"/>
            <w:shd w:val="clear" w:color="auto" w:fill="auto"/>
            <w:vAlign w:val="center"/>
          </w:tcPr>
          <w:p w14:paraId="409B4B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275</w:t>
            </w:r>
          </w:p>
        </w:tc>
        <w:tc>
          <w:tcPr>
            <w:tcW w:w="490" w:type="pct"/>
            <w:shd w:val="clear" w:color="auto" w:fill="auto"/>
            <w:vAlign w:val="center"/>
          </w:tcPr>
          <w:p w14:paraId="110DE5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金台区进新村综合楼建设项目</w:t>
            </w:r>
          </w:p>
        </w:tc>
        <w:tc>
          <w:tcPr>
            <w:tcW w:w="2040" w:type="pct"/>
            <w:shd w:val="clear" w:color="auto" w:fill="auto"/>
            <w:vAlign w:val="center"/>
          </w:tcPr>
          <w:p w14:paraId="647EEAC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建筑面积5.8万平方米，配套给排水，供电，供暖，燃气，消防等设施</w:t>
            </w:r>
          </w:p>
        </w:tc>
        <w:tc>
          <w:tcPr>
            <w:tcW w:w="460" w:type="pct"/>
            <w:shd w:val="clear" w:color="auto" w:fill="auto"/>
            <w:vAlign w:val="center"/>
          </w:tcPr>
          <w:p w14:paraId="2CD89B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宏文路</w:t>
            </w:r>
          </w:p>
        </w:tc>
        <w:tc>
          <w:tcPr>
            <w:tcW w:w="374" w:type="pct"/>
            <w:shd w:val="clear" w:color="auto" w:fill="auto"/>
            <w:vAlign w:val="center"/>
          </w:tcPr>
          <w:p w14:paraId="78A715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2019-2023</w:t>
            </w:r>
          </w:p>
        </w:tc>
        <w:tc>
          <w:tcPr>
            <w:tcW w:w="321" w:type="pct"/>
            <w:shd w:val="clear" w:color="auto" w:fill="auto"/>
            <w:vAlign w:val="center"/>
          </w:tcPr>
          <w:p w14:paraId="6006EC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5EAFDD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20F3A1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50C104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        陈仓镇</w:t>
            </w:r>
          </w:p>
        </w:tc>
      </w:tr>
      <w:tr w14:paraId="20630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9" w:hRule="atLeast"/>
        </w:trPr>
        <w:tc>
          <w:tcPr>
            <w:tcW w:w="225" w:type="pct"/>
            <w:shd w:val="clear" w:color="auto" w:fill="auto"/>
            <w:vAlign w:val="center"/>
          </w:tcPr>
          <w:p w14:paraId="44137D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276</w:t>
            </w:r>
          </w:p>
        </w:tc>
        <w:tc>
          <w:tcPr>
            <w:tcW w:w="490" w:type="pct"/>
            <w:shd w:val="clear" w:color="auto" w:fill="auto"/>
            <w:vAlign w:val="center"/>
          </w:tcPr>
          <w:p w14:paraId="0E1504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蟠龙新区紫玉尚景城市综合体项目</w:t>
            </w:r>
          </w:p>
        </w:tc>
        <w:tc>
          <w:tcPr>
            <w:tcW w:w="2040" w:type="pct"/>
            <w:shd w:val="clear" w:color="auto" w:fill="auto"/>
            <w:vAlign w:val="center"/>
          </w:tcPr>
          <w:p w14:paraId="63EC1A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占地122.472亩，建设住宅和商业，配套综合开发</w:t>
            </w:r>
          </w:p>
        </w:tc>
        <w:tc>
          <w:tcPr>
            <w:tcW w:w="460" w:type="pct"/>
            <w:shd w:val="clear" w:color="auto" w:fill="auto"/>
            <w:vAlign w:val="center"/>
          </w:tcPr>
          <w:p w14:paraId="6D1076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39B24A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65D86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77" w:type="pct"/>
            <w:shd w:val="clear" w:color="auto" w:fill="auto"/>
            <w:vAlign w:val="center"/>
          </w:tcPr>
          <w:p w14:paraId="633AED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8</w:t>
            </w:r>
          </w:p>
        </w:tc>
        <w:tc>
          <w:tcPr>
            <w:tcW w:w="319" w:type="pct"/>
            <w:shd w:val="clear" w:color="auto" w:fill="auto"/>
            <w:vAlign w:val="center"/>
          </w:tcPr>
          <w:p w14:paraId="10120B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7C9607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080E8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00" w:hRule="atLeast"/>
        </w:trPr>
        <w:tc>
          <w:tcPr>
            <w:tcW w:w="225" w:type="pct"/>
            <w:shd w:val="clear" w:color="auto" w:fill="auto"/>
            <w:vAlign w:val="center"/>
          </w:tcPr>
          <w:p w14:paraId="5FE290C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277</w:t>
            </w:r>
          </w:p>
        </w:tc>
        <w:tc>
          <w:tcPr>
            <w:tcW w:w="490" w:type="pct"/>
            <w:shd w:val="clear" w:color="auto" w:fill="auto"/>
            <w:vAlign w:val="center"/>
          </w:tcPr>
          <w:p w14:paraId="54BD7E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蟠龙新区观山堂项目</w:t>
            </w:r>
          </w:p>
        </w:tc>
        <w:tc>
          <w:tcPr>
            <w:tcW w:w="2040" w:type="pct"/>
            <w:shd w:val="clear" w:color="auto" w:fill="auto"/>
            <w:vAlign w:val="center"/>
          </w:tcPr>
          <w:p w14:paraId="7386AA3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占地328.4亩，总建筑面积47.6万平方米，住宅面积31.9万平方米，商业面积4534平方米，幼儿园面积4500平方米；配套给排水、道路、燃气、采暖、供配电、监控等工程</w:t>
            </w:r>
          </w:p>
        </w:tc>
        <w:tc>
          <w:tcPr>
            <w:tcW w:w="460" w:type="pct"/>
            <w:shd w:val="clear" w:color="auto" w:fill="auto"/>
            <w:vAlign w:val="center"/>
          </w:tcPr>
          <w:p w14:paraId="5EBAC5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69BEB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01E3B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0A6465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19" w:type="pct"/>
            <w:shd w:val="clear" w:color="auto" w:fill="auto"/>
            <w:vAlign w:val="center"/>
          </w:tcPr>
          <w:p w14:paraId="3D10EF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31BE4A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6A0A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54" w:hRule="atLeast"/>
        </w:trPr>
        <w:tc>
          <w:tcPr>
            <w:tcW w:w="225" w:type="pct"/>
            <w:shd w:val="clear" w:color="auto" w:fill="auto"/>
            <w:vAlign w:val="center"/>
          </w:tcPr>
          <w:p w14:paraId="06D4D48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78</w:t>
            </w:r>
          </w:p>
        </w:tc>
        <w:tc>
          <w:tcPr>
            <w:tcW w:w="490" w:type="pct"/>
            <w:shd w:val="clear" w:color="auto" w:fill="auto"/>
            <w:vAlign w:val="center"/>
          </w:tcPr>
          <w:p w14:paraId="7120C8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蟠龙新区晓光村棚户区改造项目</w:t>
            </w:r>
          </w:p>
        </w:tc>
        <w:tc>
          <w:tcPr>
            <w:tcW w:w="2040" w:type="pct"/>
            <w:shd w:val="clear" w:color="auto" w:fill="auto"/>
            <w:vAlign w:val="center"/>
          </w:tcPr>
          <w:p w14:paraId="005B613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项目拆迁晓光村746户，拆迁占地面积720亩，拆迁住宅建筑面积13.43万平方米。项目为货币化安置，购房面积10.85万平方米</w:t>
            </w:r>
          </w:p>
        </w:tc>
        <w:tc>
          <w:tcPr>
            <w:tcW w:w="460" w:type="pct"/>
            <w:shd w:val="clear" w:color="auto" w:fill="auto"/>
            <w:vAlign w:val="center"/>
          </w:tcPr>
          <w:p w14:paraId="3FAA99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4084E9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0DDB15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F6BA7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DC648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2E4B2B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5F5A8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46" w:hRule="atLeast"/>
        </w:trPr>
        <w:tc>
          <w:tcPr>
            <w:tcW w:w="225" w:type="pct"/>
            <w:shd w:val="clear" w:color="auto" w:fill="auto"/>
            <w:vAlign w:val="center"/>
          </w:tcPr>
          <w:p w14:paraId="710B82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279</w:t>
            </w:r>
          </w:p>
        </w:tc>
        <w:tc>
          <w:tcPr>
            <w:tcW w:w="490" w:type="pct"/>
            <w:shd w:val="clear" w:color="auto" w:fill="auto"/>
            <w:vAlign w:val="center"/>
          </w:tcPr>
          <w:p w14:paraId="055EC7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蟠龙新区东升大道南片区冯家崖村东壕村小村村三村棚户区改造项目</w:t>
            </w:r>
          </w:p>
        </w:tc>
        <w:tc>
          <w:tcPr>
            <w:tcW w:w="2040" w:type="pct"/>
            <w:shd w:val="clear" w:color="auto" w:fill="auto"/>
            <w:vAlign w:val="center"/>
          </w:tcPr>
          <w:p w14:paraId="52907F4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总用地面积355.367亩，拆迁面积59.99万平方米，总建筑面积37.55万平方米。涉及冯家崖村、东壕村和小村村3个行政村1333户，新建安置房2748套，配套建设小区内给排水、道路、供暖、燃气、供配电、通信、绿化等工程</w:t>
            </w:r>
          </w:p>
        </w:tc>
        <w:tc>
          <w:tcPr>
            <w:tcW w:w="460" w:type="pct"/>
            <w:shd w:val="clear" w:color="auto" w:fill="auto"/>
            <w:vAlign w:val="center"/>
          </w:tcPr>
          <w:p w14:paraId="3BFC5E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3F4A0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9C48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187994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0ED4A9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930FF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A220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5A77CE9D">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3BAFD89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城市提升改造（10）</w:t>
            </w:r>
          </w:p>
        </w:tc>
        <w:tc>
          <w:tcPr>
            <w:tcW w:w="2040" w:type="pct"/>
            <w:shd w:val="clear" w:color="auto" w:fill="auto"/>
            <w:vAlign w:val="center"/>
          </w:tcPr>
          <w:p w14:paraId="327ACBD1">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8F944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D7163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4F90A93">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116.293</w:t>
            </w:r>
          </w:p>
        </w:tc>
        <w:tc>
          <w:tcPr>
            <w:tcW w:w="377" w:type="pct"/>
            <w:shd w:val="clear" w:color="auto" w:fill="auto"/>
            <w:vAlign w:val="center"/>
          </w:tcPr>
          <w:p w14:paraId="63F6E59A">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105.293</w:t>
            </w:r>
          </w:p>
        </w:tc>
        <w:tc>
          <w:tcPr>
            <w:tcW w:w="319" w:type="pct"/>
            <w:shd w:val="clear" w:color="auto" w:fill="auto"/>
            <w:vAlign w:val="center"/>
          </w:tcPr>
          <w:p w14:paraId="64052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1F9EAA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349C9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0" w:hRule="atLeast"/>
        </w:trPr>
        <w:tc>
          <w:tcPr>
            <w:tcW w:w="225" w:type="pct"/>
            <w:shd w:val="clear" w:color="auto" w:fill="auto"/>
            <w:vAlign w:val="center"/>
          </w:tcPr>
          <w:p w14:paraId="3BE71F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280</w:t>
            </w:r>
          </w:p>
        </w:tc>
        <w:tc>
          <w:tcPr>
            <w:tcW w:w="490" w:type="pct"/>
            <w:shd w:val="clear" w:color="auto" w:fill="auto"/>
            <w:vAlign w:val="center"/>
          </w:tcPr>
          <w:p w14:paraId="6A5A7D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金台区中储粮宝鸡直属库开发项目</w:t>
            </w:r>
          </w:p>
        </w:tc>
        <w:tc>
          <w:tcPr>
            <w:tcW w:w="2040" w:type="pct"/>
            <w:shd w:val="clear" w:color="auto" w:fill="auto"/>
            <w:vAlign w:val="center"/>
          </w:tcPr>
          <w:p w14:paraId="4E0BE14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占地155亩，建设商住综合体，总建筑面积38万平方米，其中商业10万平方米，住宅楼26万平方米，配套相关设施建设</w:t>
            </w:r>
          </w:p>
        </w:tc>
        <w:tc>
          <w:tcPr>
            <w:tcW w:w="460" w:type="pct"/>
            <w:shd w:val="clear" w:color="auto" w:fill="auto"/>
            <w:vAlign w:val="center"/>
          </w:tcPr>
          <w:p w14:paraId="7660F0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shd w:val="clear" w:color="auto" w:fill="auto"/>
            <w:vAlign w:val="center"/>
          </w:tcPr>
          <w:p w14:paraId="15499F3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2021-2027</w:t>
            </w:r>
          </w:p>
        </w:tc>
        <w:tc>
          <w:tcPr>
            <w:tcW w:w="321" w:type="pct"/>
            <w:shd w:val="clear" w:color="auto" w:fill="auto"/>
            <w:vAlign w:val="center"/>
          </w:tcPr>
          <w:p w14:paraId="101ECC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22</w:t>
            </w:r>
          </w:p>
        </w:tc>
        <w:tc>
          <w:tcPr>
            <w:tcW w:w="377" w:type="pct"/>
            <w:shd w:val="clear" w:color="auto" w:fill="auto"/>
            <w:vAlign w:val="center"/>
          </w:tcPr>
          <w:p w14:paraId="6ED2D4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16</w:t>
            </w:r>
          </w:p>
        </w:tc>
        <w:tc>
          <w:tcPr>
            <w:tcW w:w="319" w:type="pct"/>
            <w:shd w:val="clear" w:color="auto" w:fill="auto"/>
            <w:vAlign w:val="center"/>
          </w:tcPr>
          <w:p w14:paraId="17E1AE4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619FCB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十里铺街道办事处</w:t>
            </w:r>
          </w:p>
        </w:tc>
      </w:tr>
      <w:tr w14:paraId="479EE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4" w:hRule="atLeast"/>
        </w:trPr>
        <w:tc>
          <w:tcPr>
            <w:tcW w:w="225" w:type="pct"/>
            <w:shd w:val="clear" w:color="auto" w:fill="auto"/>
            <w:vAlign w:val="center"/>
          </w:tcPr>
          <w:p w14:paraId="34894C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281</w:t>
            </w:r>
          </w:p>
        </w:tc>
        <w:tc>
          <w:tcPr>
            <w:tcW w:w="490" w:type="pct"/>
            <w:shd w:val="clear" w:color="auto" w:fill="auto"/>
            <w:vAlign w:val="center"/>
          </w:tcPr>
          <w:p w14:paraId="2E2CD9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lang w:eastAsia="zh-CN"/>
              </w:rPr>
              <w:t>金河工业园</w:t>
            </w:r>
            <w:r>
              <w:rPr>
                <w:rFonts w:hint="eastAsia" w:ascii="仿宋_GB2312" w:hAnsi="宋体" w:eastAsia="仿宋_GB2312" w:cs="宋体"/>
                <w:kern w:val="0"/>
                <w:sz w:val="20"/>
                <w:szCs w:val="20"/>
              </w:rPr>
              <w:t>区北核心区集中安置项目</w:t>
            </w:r>
          </w:p>
        </w:tc>
        <w:tc>
          <w:tcPr>
            <w:tcW w:w="2040" w:type="pct"/>
            <w:shd w:val="clear" w:color="auto" w:fill="auto"/>
            <w:vAlign w:val="center"/>
          </w:tcPr>
          <w:p w14:paraId="15E34DD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对北核心区200户居民集中安置，新建居民安置楼4栋，配套设施建设</w:t>
            </w:r>
          </w:p>
        </w:tc>
        <w:tc>
          <w:tcPr>
            <w:tcW w:w="460" w:type="pct"/>
            <w:shd w:val="clear" w:color="auto" w:fill="auto"/>
            <w:vAlign w:val="center"/>
          </w:tcPr>
          <w:p w14:paraId="12AFC4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5904B6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5A331A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77" w:type="pct"/>
            <w:shd w:val="clear" w:color="auto" w:fill="auto"/>
            <w:vAlign w:val="center"/>
          </w:tcPr>
          <w:p w14:paraId="56CB22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w:t>
            </w:r>
          </w:p>
        </w:tc>
        <w:tc>
          <w:tcPr>
            <w:tcW w:w="319" w:type="pct"/>
            <w:shd w:val="clear" w:color="auto" w:fill="auto"/>
            <w:vAlign w:val="center"/>
          </w:tcPr>
          <w:p w14:paraId="1B95B4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05E2FE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2CA36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shd w:val="clear" w:color="auto" w:fill="auto"/>
            <w:vAlign w:val="center"/>
          </w:tcPr>
          <w:p w14:paraId="5D5986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282</w:t>
            </w:r>
          </w:p>
        </w:tc>
        <w:tc>
          <w:tcPr>
            <w:tcW w:w="490" w:type="pct"/>
            <w:shd w:val="clear" w:color="auto" w:fill="auto"/>
            <w:vAlign w:val="center"/>
          </w:tcPr>
          <w:p w14:paraId="132A05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蟠龙新区土地储备项目</w:t>
            </w:r>
          </w:p>
        </w:tc>
        <w:tc>
          <w:tcPr>
            <w:tcW w:w="2040" w:type="pct"/>
            <w:shd w:val="clear" w:color="auto" w:fill="auto"/>
            <w:vAlign w:val="center"/>
          </w:tcPr>
          <w:p w14:paraId="4754A00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整理储备土地5000亩</w:t>
            </w:r>
          </w:p>
        </w:tc>
        <w:tc>
          <w:tcPr>
            <w:tcW w:w="460" w:type="pct"/>
            <w:shd w:val="clear" w:color="auto" w:fill="auto"/>
            <w:vAlign w:val="center"/>
          </w:tcPr>
          <w:p w14:paraId="1ACA2B1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0A9FDF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45DD5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77" w:type="pct"/>
            <w:shd w:val="clear" w:color="auto" w:fill="auto"/>
            <w:vAlign w:val="center"/>
          </w:tcPr>
          <w:p w14:paraId="7555996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10 </w:t>
            </w:r>
          </w:p>
        </w:tc>
        <w:tc>
          <w:tcPr>
            <w:tcW w:w="319" w:type="pct"/>
            <w:shd w:val="clear" w:color="auto" w:fill="auto"/>
            <w:vAlign w:val="center"/>
          </w:tcPr>
          <w:p w14:paraId="5C5C62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F42B5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4E77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9" w:hRule="atLeast"/>
        </w:trPr>
        <w:tc>
          <w:tcPr>
            <w:tcW w:w="225" w:type="pct"/>
            <w:vMerge w:val="restart"/>
            <w:shd w:val="clear" w:color="auto" w:fill="auto"/>
            <w:vAlign w:val="center"/>
          </w:tcPr>
          <w:p w14:paraId="173D8B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283</w:t>
            </w:r>
          </w:p>
        </w:tc>
        <w:tc>
          <w:tcPr>
            <w:tcW w:w="490" w:type="pct"/>
            <w:vMerge w:val="restart"/>
            <w:shd w:val="clear" w:color="auto" w:fill="auto"/>
            <w:vAlign w:val="center"/>
          </w:tcPr>
          <w:p w14:paraId="10D1E3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金台区老旧小区改造项目（含5个子项目，总投资55.18亿元）</w:t>
            </w:r>
          </w:p>
        </w:tc>
        <w:tc>
          <w:tcPr>
            <w:tcW w:w="2040" w:type="pct"/>
            <w:shd w:val="clear" w:color="auto" w:fill="auto"/>
            <w:vAlign w:val="center"/>
          </w:tcPr>
          <w:p w14:paraId="40E8C1A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2021年对宝中路17号院、长青路91号院、东南城巷56号院等94个老旧小区实施屋面防水及保温改造、外墙立面改造、楼梯公共区域改造、违章拆除。原址改造小区面貌、基础设施、居住环境等</w:t>
            </w:r>
          </w:p>
        </w:tc>
        <w:tc>
          <w:tcPr>
            <w:tcW w:w="460" w:type="pct"/>
            <w:shd w:val="clear" w:color="auto" w:fill="auto"/>
            <w:vAlign w:val="center"/>
          </w:tcPr>
          <w:p w14:paraId="290D26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宝中路等</w:t>
            </w:r>
          </w:p>
        </w:tc>
        <w:tc>
          <w:tcPr>
            <w:tcW w:w="374" w:type="pct"/>
            <w:shd w:val="clear" w:color="auto" w:fill="auto"/>
            <w:vAlign w:val="center"/>
          </w:tcPr>
          <w:p w14:paraId="11124C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CFCB6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77" w:type="pct"/>
            <w:shd w:val="clear" w:color="auto" w:fill="auto"/>
            <w:vAlign w:val="center"/>
          </w:tcPr>
          <w:p w14:paraId="005672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9.4</w:t>
            </w:r>
          </w:p>
        </w:tc>
        <w:tc>
          <w:tcPr>
            <w:tcW w:w="319" w:type="pct"/>
            <w:vMerge w:val="restart"/>
            <w:shd w:val="clear" w:color="auto" w:fill="auto"/>
            <w:vAlign w:val="center"/>
          </w:tcPr>
          <w:p w14:paraId="167860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0E0829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24BF6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9" w:hRule="atLeast"/>
        </w:trPr>
        <w:tc>
          <w:tcPr>
            <w:tcW w:w="225" w:type="pct"/>
            <w:vMerge w:val="continue"/>
            <w:vAlign w:val="center"/>
          </w:tcPr>
          <w:p w14:paraId="4C438642">
            <w:pPr>
              <w:adjustRightInd w:val="0"/>
              <w:snapToGrid w:val="0"/>
              <w:rPr>
                <w:rFonts w:ascii="仿宋_GB2312" w:hAnsi="宋体" w:eastAsia="仿宋_GB2312" w:cs="宋体"/>
                <w:kern w:val="0"/>
                <w:sz w:val="20"/>
                <w:szCs w:val="20"/>
              </w:rPr>
            </w:pPr>
          </w:p>
        </w:tc>
        <w:tc>
          <w:tcPr>
            <w:tcW w:w="490" w:type="pct"/>
            <w:vMerge w:val="continue"/>
            <w:vAlign w:val="center"/>
          </w:tcPr>
          <w:p w14:paraId="5D207AC3">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95175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2022年对宝福路30号院、长青路6号院、中山东路128号院等95个老旧小区实施屋面防水及保温改造、外墙立面改造、楼梯公共区域改造、违章拆除。原址改造小区面貌、基础设施、居住环境等</w:t>
            </w:r>
          </w:p>
        </w:tc>
        <w:tc>
          <w:tcPr>
            <w:tcW w:w="460" w:type="pct"/>
            <w:shd w:val="clear" w:color="auto" w:fill="auto"/>
            <w:vAlign w:val="center"/>
          </w:tcPr>
          <w:p w14:paraId="189461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宝福路等</w:t>
            </w:r>
          </w:p>
        </w:tc>
        <w:tc>
          <w:tcPr>
            <w:tcW w:w="374" w:type="pct"/>
            <w:shd w:val="clear" w:color="auto" w:fill="auto"/>
            <w:vAlign w:val="center"/>
          </w:tcPr>
          <w:p w14:paraId="3EEAC4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2022-2023</w:t>
            </w:r>
          </w:p>
        </w:tc>
        <w:tc>
          <w:tcPr>
            <w:tcW w:w="321" w:type="pct"/>
            <w:shd w:val="clear" w:color="auto" w:fill="auto"/>
            <w:vAlign w:val="center"/>
          </w:tcPr>
          <w:p w14:paraId="39957E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77" w:type="pct"/>
            <w:shd w:val="clear" w:color="auto" w:fill="auto"/>
            <w:vAlign w:val="center"/>
          </w:tcPr>
          <w:p w14:paraId="770FA6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vMerge w:val="continue"/>
            <w:vAlign w:val="center"/>
          </w:tcPr>
          <w:p w14:paraId="2DBD358B">
            <w:pPr>
              <w:adjustRightInd w:val="0"/>
              <w:snapToGrid w:val="0"/>
              <w:rPr>
                <w:rFonts w:ascii="仿宋_GB2312" w:hAnsi="宋体" w:eastAsia="仿宋_GB2312" w:cs="宋体"/>
                <w:kern w:val="0"/>
                <w:sz w:val="20"/>
                <w:szCs w:val="20"/>
              </w:rPr>
            </w:pPr>
          </w:p>
        </w:tc>
        <w:tc>
          <w:tcPr>
            <w:tcW w:w="392" w:type="pct"/>
            <w:vMerge w:val="continue"/>
            <w:vAlign w:val="center"/>
          </w:tcPr>
          <w:p w14:paraId="7F77D954">
            <w:pPr>
              <w:adjustRightInd w:val="0"/>
              <w:snapToGrid w:val="0"/>
              <w:rPr>
                <w:rFonts w:ascii="仿宋_GB2312" w:hAnsi="宋体" w:eastAsia="仿宋_GB2312" w:cs="宋体"/>
                <w:kern w:val="0"/>
                <w:sz w:val="20"/>
                <w:szCs w:val="20"/>
              </w:rPr>
            </w:pPr>
          </w:p>
        </w:tc>
      </w:tr>
      <w:tr w14:paraId="0B55F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1" w:hRule="atLeast"/>
        </w:trPr>
        <w:tc>
          <w:tcPr>
            <w:tcW w:w="225" w:type="pct"/>
            <w:vMerge w:val="continue"/>
            <w:vAlign w:val="center"/>
          </w:tcPr>
          <w:p w14:paraId="0A1597F6">
            <w:pPr>
              <w:adjustRightInd w:val="0"/>
              <w:snapToGrid w:val="0"/>
              <w:rPr>
                <w:rFonts w:ascii="仿宋_GB2312" w:hAnsi="宋体" w:eastAsia="仿宋_GB2312" w:cs="宋体"/>
                <w:kern w:val="0"/>
                <w:sz w:val="20"/>
                <w:szCs w:val="20"/>
              </w:rPr>
            </w:pPr>
          </w:p>
        </w:tc>
        <w:tc>
          <w:tcPr>
            <w:tcW w:w="490" w:type="pct"/>
            <w:vMerge w:val="continue"/>
            <w:vAlign w:val="center"/>
          </w:tcPr>
          <w:p w14:paraId="025467E8">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467A17B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2023年对宝福路144号院、中山西路79号院、叉三家属院等96个老旧小区实施屋面防水及保温改造、外墙立面改造、楼梯公共区域改造、违章拆除。原址改造小区面貌、基础设施、居住环境等</w:t>
            </w:r>
          </w:p>
        </w:tc>
        <w:tc>
          <w:tcPr>
            <w:tcW w:w="460" w:type="pct"/>
            <w:shd w:val="clear" w:color="auto" w:fill="auto"/>
            <w:vAlign w:val="center"/>
          </w:tcPr>
          <w:p w14:paraId="180195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中山西路等</w:t>
            </w:r>
          </w:p>
        </w:tc>
        <w:tc>
          <w:tcPr>
            <w:tcW w:w="374" w:type="pct"/>
            <w:shd w:val="clear" w:color="auto" w:fill="auto"/>
            <w:vAlign w:val="center"/>
          </w:tcPr>
          <w:p w14:paraId="350001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2023-2024</w:t>
            </w:r>
          </w:p>
        </w:tc>
        <w:tc>
          <w:tcPr>
            <w:tcW w:w="321" w:type="pct"/>
            <w:shd w:val="clear" w:color="auto" w:fill="auto"/>
            <w:vAlign w:val="center"/>
          </w:tcPr>
          <w:p w14:paraId="6A5644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77" w:type="pct"/>
            <w:shd w:val="clear" w:color="auto" w:fill="auto"/>
            <w:vAlign w:val="center"/>
          </w:tcPr>
          <w:p w14:paraId="79D57E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11.52</w:t>
            </w:r>
          </w:p>
        </w:tc>
        <w:tc>
          <w:tcPr>
            <w:tcW w:w="319" w:type="pct"/>
            <w:vMerge w:val="continue"/>
            <w:vAlign w:val="center"/>
          </w:tcPr>
          <w:p w14:paraId="7F2DE7F9">
            <w:pPr>
              <w:adjustRightInd w:val="0"/>
              <w:snapToGrid w:val="0"/>
              <w:rPr>
                <w:rFonts w:ascii="仿宋_GB2312" w:hAnsi="宋体" w:eastAsia="仿宋_GB2312" w:cs="宋体"/>
                <w:kern w:val="0"/>
                <w:sz w:val="20"/>
                <w:szCs w:val="20"/>
              </w:rPr>
            </w:pPr>
          </w:p>
        </w:tc>
        <w:tc>
          <w:tcPr>
            <w:tcW w:w="392" w:type="pct"/>
            <w:vMerge w:val="continue"/>
            <w:vAlign w:val="center"/>
          </w:tcPr>
          <w:p w14:paraId="5CFD6F40">
            <w:pPr>
              <w:adjustRightInd w:val="0"/>
              <w:snapToGrid w:val="0"/>
              <w:rPr>
                <w:rFonts w:ascii="仿宋_GB2312" w:hAnsi="宋体" w:eastAsia="仿宋_GB2312" w:cs="宋体"/>
                <w:kern w:val="0"/>
                <w:sz w:val="20"/>
                <w:szCs w:val="20"/>
              </w:rPr>
            </w:pPr>
          </w:p>
        </w:tc>
      </w:tr>
      <w:tr w14:paraId="1F8B0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vMerge w:val="continue"/>
            <w:vAlign w:val="center"/>
          </w:tcPr>
          <w:p w14:paraId="49B525E4">
            <w:pPr>
              <w:adjustRightInd w:val="0"/>
              <w:snapToGrid w:val="0"/>
              <w:rPr>
                <w:rFonts w:ascii="仿宋_GB2312" w:hAnsi="宋体" w:eastAsia="仿宋_GB2312" w:cs="宋体"/>
                <w:kern w:val="0"/>
                <w:sz w:val="20"/>
                <w:szCs w:val="20"/>
              </w:rPr>
            </w:pPr>
          </w:p>
        </w:tc>
        <w:tc>
          <w:tcPr>
            <w:tcW w:w="490" w:type="pct"/>
            <w:vMerge w:val="continue"/>
            <w:vAlign w:val="center"/>
          </w:tcPr>
          <w:p w14:paraId="47B7D906">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74539EE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2024年对长寿小区55号院、高家巷2号院、引渭路25号院等96个老旧小区实施屋面防水及保温改造、外墙立面改造、楼梯公共区域改造、违章拆除。原址改造小区面貌、基础设施、居住环境等</w:t>
            </w:r>
          </w:p>
        </w:tc>
        <w:tc>
          <w:tcPr>
            <w:tcW w:w="460" w:type="pct"/>
            <w:shd w:val="clear" w:color="auto" w:fill="auto"/>
            <w:vAlign w:val="center"/>
          </w:tcPr>
          <w:p w14:paraId="602F2B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长寿小区等</w:t>
            </w:r>
          </w:p>
        </w:tc>
        <w:tc>
          <w:tcPr>
            <w:tcW w:w="374" w:type="pct"/>
            <w:shd w:val="clear" w:color="auto" w:fill="auto"/>
            <w:vAlign w:val="center"/>
          </w:tcPr>
          <w:p w14:paraId="178C14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2024-2025</w:t>
            </w:r>
          </w:p>
        </w:tc>
        <w:tc>
          <w:tcPr>
            <w:tcW w:w="321" w:type="pct"/>
            <w:shd w:val="clear" w:color="auto" w:fill="auto"/>
            <w:vAlign w:val="center"/>
          </w:tcPr>
          <w:p w14:paraId="605E09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77" w:type="pct"/>
            <w:shd w:val="clear" w:color="auto" w:fill="auto"/>
            <w:vAlign w:val="center"/>
          </w:tcPr>
          <w:p w14:paraId="30D4CB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12.48</w:t>
            </w:r>
          </w:p>
        </w:tc>
        <w:tc>
          <w:tcPr>
            <w:tcW w:w="319" w:type="pct"/>
            <w:vMerge w:val="continue"/>
            <w:vAlign w:val="center"/>
          </w:tcPr>
          <w:p w14:paraId="693C5157">
            <w:pPr>
              <w:adjustRightInd w:val="0"/>
              <w:snapToGrid w:val="0"/>
              <w:rPr>
                <w:rFonts w:ascii="仿宋_GB2312" w:hAnsi="宋体" w:eastAsia="仿宋_GB2312" w:cs="宋体"/>
                <w:kern w:val="0"/>
                <w:sz w:val="20"/>
                <w:szCs w:val="20"/>
              </w:rPr>
            </w:pPr>
          </w:p>
        </w:tc>
        <w:tc>
          <w:tcPr>
            <w:tcW w:w="392" w:type="pct"/>
            <w:vMerge w:val="continue"/>
            <w:vAlign w:val="center"/>
          </w:tcPr>
          <w:p w14:paraId="44537DBF">
            <w:pPr>
              <w:adjustRightInd w:val="0"/>
              <w:snapToGrid w:val="0"/>
              <w:rPr>
                <w:rFonts w:ascii="仿宋_GB2312" w:hAnsi="宋体" w:eastAsia="仿宋_GB2312" w:cs="宋体"/>
                <w:kern w:val="0"/>
                <w:sz w:val="20"/>
                <w:szCs w:val="20"/>
              </w:rPr>
            </w:pPr>
          </w:p>
        </w:tc>
      </w:tr>
      <w:tr w14:paraId="71F6F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1" w:hRule="atLeast"/>
        </w:trPr>
        <w:tc>
          <w:tcPr>
            <w:tcW w:w="225" w:type="pct"/>
            <w:vMerge w:val="continue"/>
            <w:vAlign w:val="center"/>
          </w:tcPr>
          <w:p w14:paraId="64C347F7">
            <w:pPr>
              <w:adjustRightInd w:val="0"/>
              <w:snapToGrid w:val="0"/>
              <w:rPr>
                <w:rFonts w:ascii="仿宋_GB2312" w:hAnsi="宋体" w:eastAsia="仿宋_GB2312" w:cs="宋体"/>
                <w:kern w:val="0"/>
                <w:sz w:val="20"/>
                <w:szCs w:val="20"/>
              </w:rPr>
            </w:pPr>
          </w:p>
        </w:tc>
        <w:tc>
          <w:tcPr>
            <w:tcW w:w="490" w:type="pct"/>
            <w:vMerge w:val="continue"/>
            <w:vAlign w:val="center"/>
          </w:tcPr>
          <w:p w14:paraId="1691A260">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5737A15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2025年对宝福路106号院、群建巷39号楼、新华村1号院等81个老旧小区实施屋面防水及保温改造、外墙立面改造、楼梯公共区域改造、违章拆除。原址改造小区面貌、基础设施、居住环境等</w:t>
            </w:r>
          </w:p>
        </w:tc>
        <w:tc>
          <w:tcPr>
            <w:tcW w:w="460" w:type="pct"/>
            <w:shd w:val="clear" w:color="auto" w:fill="auto"/>
            <w:vAlign w:val="center"/>
          </w:tcPr>
          <w:p w14:paraId="014739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群建巷等</w:t>
            </w:r>
          </w:p>
        </w:tc>
        <w:tc>
          <w:tcPr>
            <w:tcW w:w="374" w:type="pct"/>
            <w:shd w:val="clear" w:color="auto" w:fill="auto"/>
            <w:vAlign w:val="center"/>
          </w:tcPr>
          <w:p w14:paraId="3EE8CF2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2025-2026</w:t>
            </w:r>
          </w:p>
        </w:tc>
        <w:tc>
          <w:tcPr>
            <w:tcW w:w="321" w:type="pct"/>
            <w:shd w:val="clear" w:color="auto" w:fill="auto"/>
            <w:vAlign w:val="center"/>
          </w:tcPr>
          <w:p w14:paraId="34121D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77" w:type="pct"/>
            <w:shd w:val="clear" w:color="auto" w:fill="auto"/>
            <w:vAlign w:val="center"/>
          </w:tcPr>
          <w:p w14:paraId="785E03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11.34</w:t>
            </w:r>
          </w:p>
        </w:tc>
        <w:tc>
          <w:tcPr>
            <w:tcW w:w="319" w:type="pct"/>
            <w:vMerge w:val="continue"/>
            <w:vAlign w:val="center"/>
          </w:tcPr>
          <w:p w14:paraId="0458C1D5">
            <w:pPr>
              <w:adjustRightInd w:val="0"/>
              <w:snapToGrid w:val="0"/>
              <w:rPr>
                <w:rFonts w:ascii="仿宋_GB2312" w:hAnsi="宋体" w:eastAsia="仿宋_GB2312" w:cs="宋体"/>
                <w:kern w:val="0"/>
                <w:sz w:val="20"/>
                <w:szCs w:val="20"/>
              </w:rPr>
            </w:pPr>
          </w:p>
        </w:tc>
        <w:tc>
          <w:tcPr>
            <w:tcW w:w="392" w:type="pct"/>
            <w:vMerge w:val="continue"/>
            <w:vAlign w:val="center"/>
          </w:tcPr>
          <w:p w14:paraId="26214976">
            <w:pPr>
              <w:adjustRightInd w:val="0"/>
              <w:snapToGrid w:val="0"/>
              <w:rPr>
                <w:rFonts w:ascii="仿宋_GB2312" w:hAnsi="宋体" w:eastAsia="仿宋_GB2312" w:cs="宋体"/>
                <w:kern w:val="0"/>
                <w:sz w:val="20"/>
                <w:szCs w:val="20"/>
              </w:rPr>
            </w:pPr>
          </w:p>
        </w:tc>
      </w:tr>
      <w:tr w14:paraId="78564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3" w:hRule="atLeast"/>
        </w:trPr>
        <w:tc>
          <w:tcPr>
            <w:tcW w:w="225" w:type="pct"/>
            <w:vMerge w:val="restart"/>
            <w:shd w:val="clear" w:color="auto" w:fill="auto"/>
            <w:vAlign w:val="center"/>
          </w:tcPr>
          <w:p w14:paraId="7160EC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284</w:t>
            </w:r>
          </w:p>
        </w:tc>
        <w:tc>
          <w:tcPr>
            <w:tcW w:w="490" w:type="pct"/>
            <w:vMerge w:val="restart"/>
            <w:shd w:val="clear" w:color="auto" w:fill="auto"/>
            <w:vAlign w:val="center"/>
          </w:tcPr>
          <w:p w14:paraId="1FAAD1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金台区老旧小区改造配套基础设施项目（含4个子项目，总投资10.01亿元）</w:t>
            </w:r>
          </w:p>
        </w:tc>
        <w:tc>
          <w:tcPr>
            <w:tcW w:w="2040" w:type="pct"/>
            <w:shd w:val="clear" w:color="auto" w:fill="auto"/>
            <w:vAlign w:val="center"/>
          </w:tcPr>
          <w:p w14:paraId="71270F1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金台区棚户区改造配套基础设施项目，建设道路、铺设供水管网、污水管网、雨水管网、供热管网、燃气管网、照明电缆，种植行道树等</w:t>
            </w:r>
          </w:p>
        </w:tc>
        <w:tc>
          <w:tcPr>
            <w:tcW w:w="460" w:type="pct"/>
            <w:shd w:val="clear" w:color="auto" w:fill="auto"/>
            <w:vAlign w:val="center"/>
          </w:tcPr>
          <w:p w14:paraId="09A99D4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金台区片区</w:t>
            </w:r>
          </w:p>
        </w:tc>
        <w:tc>
          <w:tcPr>
            <w:tcW w:w="374" w:type="pct"/>
            <w:vMerge w:val="restart"/>
            <w:shd w:val="clear" w:color="auto" w:fill="auto"/>
            <w:vAlign w:val="center"/>
          </w:tcPr>
          <w:p w14:paraId="5DA5A8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26B06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77" w:type="pct"/>
            <w:shd w:val="clear" w:color="auto" w:fill="auto"/>
            <w:vAlign w:val="center"/>
          </w:tcPr>
          <w:p w14:paraId="33F05E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9.5</w:t>
            </w:r>
          </w:p>
        </w:tc>
        <w:tc>
          <w:tcPr>
            <w:tcW w:w="319" w:type="pct"/>
            <w:vMerge w:val="restart"/>
            <w:shd w:val="clear" w:color="auto" w:fill="auto"/>
            <w:vAlign w:val="center"/>
          </w:tcPr>
          <w:p w14:paraId="3AF20E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vMerge w:val="restart"/>
            <w:shd w:val="clear" w:color="auto" w:fill="auto"/>
            <w:vAlign w:val="center"/>
          </w:tcPr>
          <w:p w14:paraId="01EA71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41ADC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3" w:hRule="atLeast"/>
        </w:trPr>
        <w:tc>
          <w:tcPr>
            <w:tcW w:w="225" w:type="pct"/>
            <w:vMerge w:val="continue"/>
            <w:vAlign w:val="center"/>
          </w:tcPr>
          <w:p w14:paraId="279ECBD8">
            <w:pPr>
              <w:adjustRightInd w:val="0"/>
              <w:snapToGrid w:val="0"/>
              <w:rPr>
                <w:rFonts w:ascii="仿宋_GB2312" w:hAnsi="宋体" w:eastAsia="仿宋_GB2312" w:cs="宋体"/>
                <w:kern w:val="0"/>
                <w:sz w:val="20"/>
                <w:szCs w:val="20"/>
              </w:rPr>
            </w:pPr>
          </w:p>
        </w:tc>
        <w:tc>
          <w:tcPr>
            <w:tcW w:w="490" w:type="pct"/>
            <w:vMerge w:val="continue"/>
            <w:vAlign w:val="center"/>
          </w:tcPr>
          <w:p w14:paraId="0BC07143">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5030543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金台区陈仓园二路铁路小区外道路建设项目，建设道路174.561米、铺设污水管网145米、雨水管网207米、照明电缆308米，种植行道树87棵</w:t>
            </w:r>
          </w:p>
        </w:tc>
        <w:tc>
          <w:tcPr>
            <w:tcW w:w="460" w:type="pct"/>
            <w:shd w:val="clear" w:color="auto" w:fill="auto"/>
            <w:vAlign w:val="center"/>
          </w:tcPr>
          <w:p w14:paraId="3D024A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陈仓园二路</w:t>
            </w:r>
          </w:p>
        </w:tc>
        <w:tc>
          <w:tcPr>
            <w:tcW w:w="374" w:type="pct"/>
            <w:vMerge w:val="continue"/>
            <w:vAlign w:val="center"/>
          </w:tcPr>
          <w:p w14:paraId="7EBDE935">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659399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16F640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vMerge w:val="continue"/>
            <w:vAlign w:val="center"/>
          </w:tcPr>
          <w:p w14:paraId="1C6F49AC">
            <w:pPr>
              <w:adjustRightInd w:val="0"/>
              <w:snapToGrid w:val="0"/>
              <w:rPr>
                <w:rFonts w:ascii="仿宋_GB2312" w:hAnsi="宋体" w:eastAsia="仿宋_GB2312" w:cs="宋体"/>
                <w:kern w:val="0"/>
                <w:sz w:val="20"/>
                <w:szCs w:val="20"/>
              </w:rPr>
            </w:pPr>
          </w:p>
        </w:tc>
        <w:tc>
          <w:tcPr>
            <w:tcW w:w="392" w:type="pct"/>
            <w:vMerge w:val="continue"/>
            <w:vAlign w:val="center"/>
          </w:tcPr>
          <w:p w14:paraId="7A85021E">
            <w:pPr>
              <w:adjustRightInd w:val="0"/>
              <w:snapToGrid w:val="0"/>
              <w:rPr>
                <w:rFonts w:ascii="仿宋_GB2312" w:hAnsi="宋体" w:eastAsia="仿宋_GB2312" w:cs="宋体"/>
                <w:kern w:val="0"/>
                <w:sz w:val="20"/>
                <w:szCs w:val="20"/>
              </w:rPr>
            </w:pPr>
          </w:p>
        </w:tc>
      </w:tr>
      <w:tr w14:paraId="7DF6F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7" w:hRule="atLeast"/>
        </w:trPr>
        <w:tc>
          <w:tcPr>
            <w:tcW w:w="225" w:type="pct"/>
            <w:vMerge w:val="continue"/>
            <w:vAlign w:val="center"/>
          </w:tcPr>
          <w:p w14:paraId="14BD1058">
            <w:pPr>
              <w:adjustRightInd w:val="0"/>
              <w:snapToGrid w:val="0"/>
              <w:rPr>
                <w:rFonts w:ascii="仿宋_GB2312" w:hAnsi="宋体" w:eastAsia="仿宋_GB2312" w:cs="宋体"/>
                <w:kern w:val="0"/>
                <w:sz w:val="20"/>
                <w:szCs w:val="20"/>
              </w:rPr>
            </w:pPr>
          </w:p>
        </w:tc>
        <w:tc>
          <w:tcPr>
            <w:tcW w:w="490" w:type="pct"/>
            <w:vMerge w:val="continue"/>
            <w:vAlign w:val="center"/>
          </w:tcPr>
          <w:p w14:paraId="62128255">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42CAE0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金台区东风路宝铁老旧小区改造小区外道路配套基础设施项目，建设道路3042米、铺设供水管网3050米、污水管网2800米、雨水管网4760米、供热管网6100米、燃气管网3000米、照明电缆3000米，种植行道树330棵</w:t>
            </w:r>
          </w:p>
        </w:tc>
        <w:tc>
          <w:tcPr>
            <w:tcW w:w="460" w:type="pct"/>
            <w:shd w:val="clear" w:color="auto" w:fill="auto"/>
            <w:vAlign w:val="center"/>
          </w:tcPr>
          <w:p w14:paraId="1D7264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东风路</w:t>
            </w:r>
          </w:p>
        </w:tc>
        <w:tc>
          <w:tcPr>
            <w:tcW w:w="374" w:type="pct"/>
            <w:vMerge w:val="continue"/>
            <w:vAlign w:val="center"/>
          </w:tcPr>
          <w:p w14:paraId="31F7B07E">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3081CD0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77" w:type="pct"/>
            <w:shd w:val="clear" w:color="auto" w:fill="auto"/>
            <w:vAlign w:val="center"/>
          </w:tcPr>
          <w:p w14:paraId="752E2B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w:t>
            </w:r>
          </w:p>
        </w:tc>
        <w:tc>
          <w:tcPr>
            <w:tcW w:w="319" w:type="pct"/>
            <w:vMerge w:val="continue"/>
            <w:vAlign w:val="center"/>
          </w:tcPr>
          <w:p w14:paraId="572C3E95">
            <w:pPr>
              <w:adjustRightInd w:val="0"/>
              <w:snapToGrid w:val="0"/>
              <w:rPr>
                <w:rFonts w:ascii="仿宋_GB2312" w:hAnsi="宋体" w:eastAsia="仿宋_GB2312" w:cs="宋体"/>
                <w:kern w:val="0"/>
                <w:sz w:val="20"/>
                <w:szCs w:val="20"/>
              </w:rPr>
            </w:pPr>
          </w:p>
        </w:tc>
        <w:tc>
          <w:tcPr>
            <w:tcW w:w="392" w:type="pct"/>
            <w:vMerge w:val="continue"/>
            <w:vAlign w:val="center"/>
          </w:tcPr>
          <w:p w14:paraId="568B8710">
            <w:pPr>
              <w:adjustRightInd w:val="0"/>
              <w:snapToGrid w:val="0"/>
              <w:rPr>
                <w:rFonts w:ascii="仿宋_GB2312" w:hAnsi="宋体" w:eastAsia="仿宋_GB2312" w:cs="宋体"/>
                <w:kern w:val="0"/>
                <w:sz w:val="20"/>
                <w:szCs w:val="20"/>
              </w:rPr>
            </w:pPr>
          </w:p>
        </w:tc>
      </w:tr>
      <w:tr w14:paraId="11C4C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6" w:hRule="atLeast"/>
        </w:trPr>
        <w:tc>
          <w:tcPr>
            <w:tcW w:w="225" w:type="pct"/>
            <w:vMerge w:val="continue"/>
            <w:vAlign w:val="center"/>
          </w:tcPr>
          <w:p w14:paraId="00181B03">
            <w:pPr>
              <w:adjustRightInd w:val="0"/>
              <w:snapToGrid w:val="0"/>
              <w:rPr>
                <w:rFonts w:ascii="仿宋_GB2312" w:hAnsi="宋体" w:eastAsia="仿宋_GB2312" w:cs="宋体"/>
                <w:kern w:val="0"/>
                <w:sz w:val="20"/>
                <w:szCs w:val="20"/>
              </w:rPr>
            </w:pPr>
          </w:p>
        </w:tc>
        <w:tc>
          <w:tcPr>
            <w:tcW w:w="490" w:type="pct"/>
            <w:vMerge w:val="continue"/>
            <w:vAlign w:val="center"/>
          </w:tcPr>
          <w:p w14:paraId="3028B8EB">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2ED1F9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金台区经纬花园、西关红光铁厂及西关长岭技校老旧</w:t>
            </w:r>
            <w:r>
              <w:rPr>
                <w:rFonts w:hint="eastAsia" w:ascii="仿宋_GB2312" w:hAnsi="宋体" w:eastAsia="仿宋_GB2312" w:cs="宋体"/>
                <w:kern w:val="0"/>
                <w:sz w:val="20"/>
                <w:szCs w:val="20"/>
                <w:lang w:eastAsia="zh-CN"/>
              </w:rPr>
              <w:t>小区</w:t>
            </w:r>
            <w:r>
              <w:rPr>
                <w:rFonts w:hint="eastAsia" w:ascii="仿宋_GB2312" w:hAnsi="宋体" w:eastAsia="仿宋_GB2312" w:cs="宋体"/>
                <w:kern w:val="0"/>
                <w:sz w:val="20"/>
                <w:szCs w:val="20"/>
              </w:rPr>
              <w:t>外配套基础设施项目，建设道路9870平方米，铺设道牙2820米，铺设排水管网3260米，安装路灯94盏，种植行道树282棵</w:t>
            </w:r>
          </w:p>
        </w:tc>
        <w:tc>
          <w:tcPr>
            <w:tcW w:w="460" w:type="pct"/>
            <w:shd w:val="clear" w:color="auto" w:fill="auto"/>
            <w:vAlign w:val="center"/>
          </w:tcPr>
          <w:p w14:paraId="05593B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金台区经纬花园</w:t>
            </w:r>
          </w:p>
        </w:tc>
        <w:tc>
          <w:tcPr>
            <w:tcW w:w="374" w:type="pct"/>
            <w:vMerge w:val="continue"/>
            <w:vAlign w:val="center"/>
          </w:tcPr>
          <w:p w14:paraId="3DF678E5">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595854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4B532C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vMerge w:val="continue"/>
            <w:vAlign w:val="center"/>
          </w:tcPr>
          <w:p w14:paraId="69FDFA0C">
            <w:pPr>
              <w:adjustRightInd w:val="0"/>
              <w:snapToGrid w:val="0"/>
              <w:rPr>
                <w:rFonts w:ascii="仿宋_GB2312" w:hAnsi="宋体" w:eastAsia="仿宋_GB2312" w:cs="宋体"/>
                <w:kern w:val="0"/>
                <w:sz w:val="20"/>
                <w:szCs w:val="20"/>
              </w:rPr>
            </w:pPr>
          </w:p>
        </w:tc>
        <w:tc>
          <w:tcPr>
            <w:tcW w:w="392" w:type="pct"/>
            <w:vMerge w:val="continue"/>
            <w:vAlign w:val="center"/>
          </w:tcPr>
          <w:p w14:paraId="2BB585A0">
            <w:pPr>
              <w:adjustRightInd w:val="0"/>
              <w:snapToGrid w:val="0"/>
              <w:rPr>
                <w:rFonts w:ascii="仿宋_GB2312" w:hAnsi="宋体" w:eastAsia="仿宋_GB2312" w:cs="宋体"/>
                <w:kern w:val="0"/>
                <w:sz w:val="20"/>
                <w:szCs w:val="20"/>
              </w:rPr>
            </w:pPr>
          </w:p>
        </w:tc>
      </w:tr>
      <w:tr w14:paraId="17A44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50" w:hRule="atLeast"/>
        </w:trPr>
        <w:tc>
          <w:tcPr>
            <w:tcW w:w="225" w:type="pct"/>
            <w:shd w:val="clear" w:color="auto" w:fill="auto"/>
            <w:vAlign w:val="center"/>
          </w:tcPr>
          <w:p w14:paraId="71CD7B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285</w:t>
            </w:r>
          </w:p>
        </w:tc>
        <w:tc>
          <w:tcPr>
            <w:tcW w:w="490" w:type="pct"/>
            <w:shd w:val="clear" w:color="auto" w:fill="auto"/>
            <w:vAlign w:val="center"/>
          </w:tcPr>
          <w:p w14:paraId="1450D7AA">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金台区既有建筑节能改造项目</w:t>
            </w:r>
          </w:p>
        </w:tc>
        <w:tc>
          <w:tcPr>
            <w:tcW w:w="2040" w:type="pct"/>
            <w:shd w:val="clear" w:color="auto" w:fill="auto"/>
            <w:vAlign w:val="center"/>
          </w:tcPr>
          <w:p w14:paraId="0CE4DAF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既有建筑节能改造面积48万平方米，其中城市29万平方米，农村19万平方米。主要内容包括城市既有居住，公共建筑节能改造，农村既有建筑节能改造</w:t>
            </w:r>
          </w:p>
        </w:tc>
        <w:tc>
          <w:tcPr>
            <w:tcW w:w="460" w:type="pct"/>
            <w:shd w:val="clear" w:color="auto" w:fill="auto"/>
            <w:vAlign w:val="center"/>
          </w:tcPr>
          <w:p w14:paraId="7B8E842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61CDAF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A4D41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77" w:type="pct"/>
            <w:shd w:val="clear" w:color="auto" w:fill="auto"/>
            <w:vAlign w:val="center"/>
          </w:tcPr>
          <w:p w14:paraId="67EFE1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0.538</w:t>
            </w:r>
          </w:p>
        </w:tc>
        <w:tc>
          <w:tcPr>
            <w:tcW w:w="319" w:type="pct"/>
            <w:shd w:val="clear" w:color="auto" w:fill="auto"/>
            <w:vAlign w:val="center"/>
          </w:tcPr>
          <w:p w14:paraId="7FAE3C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D90B6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区住建局</w:t>
            </w:r>
          </w:p>
        </w:tc>
      </w:tr>
      <w:tr w14:paraId="27020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7" w:hRule="atLeast"/>
        </w:trPr>
        <w:tc>
          <w:tcPr>
            <w:tcW w:w="225" w:type="pct"/>
            <w:shd w:val="clear" w:color="auto" w:fill="auto"/>
            <w:vAlign w:val="center"/>
          </w:tcPr>
          <w:p w14:paraId="72D3A2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286</w:t>
            </w:r>
          </w:p>
        </w:tc>
        <w:tc>
          <w:tcPr>
            <w:tcW w:w="490" w:type="pct"/>
            <w:shd w:val="clear" w:color="auto" w:fill="auto"/>
            <w:vAlign w:val="center"/>
          </w:tcPr>
          <w:p w14:paraId="398B621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金台区金河镇小城镇建设项目</w:t>
            </w:r>
          </w:p>
        </w:tc>
        <w:tc>
          <w:tcPr>
            <w:tcW w:w="2040" w:type="pct"/>
            <w:shd w:val="clear" w:color="auto" w:fill="auto"/>
            <w:vAlign w:val="center"/>
          </w:tcPr>
          <w:p w14:paraId="3A9DFA3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建设住宅区、工业服务区、生活服务区等，配套牛寺庙大桥等设施建设</w:t>
            </w:r>
          </w:p>
        </w:tc>
        <w:tc>
          <w:tcPr>
            <w:tcW w:w="460" w:type="pct"/>
            <w:shd w:val="clear" w:color="auto" w:fill="auto"/>
            <w:vAlign w:val="center"/>
          </w:tcPr>
          <w:p w14:paraId="13275C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2FF7A9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B858D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13639D7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41613A7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社会投资</w:t>
            </w:r>
          </w:p>
        </w:tc>
        <w:tc>
          <w:tcPr>
            <w:tcW w:w="392" w:type="pct"/>
            <w:shd w:val="clear" w:color="auto" w:fill="auto"/>
            <w:vAlign w:val="center"/>
          </w:tcPr>
          <w:p w14:paraId="07A4D1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75BD9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6" w:hRule="atLeast"/>
        </w:trPr>
        <w:tc>
          <w:tcPr>
            <w:tcW w:w="225" w:type="pct"/>
            <w:shd w:val="clear" w:color="auto" w:fill="auto"/>
            <w:vAlign w:val="center"/>
          </w:tcPr>
          <w:p w14:paraId="62DD45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287</w:t>
            </w:r>
          </w:p>
        </w:tc>
        <w:tc>
          <w:tcPr>
            <w:tcW w:w="490" w:type="pct"/>
            <w:shd w:val="clear" w:color="auto" w:fill="auto"/>
            <w:vAlign w:val="center"/>
          </w:tcPr>
          <w:p w14:paraId="33E816E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金台区土地储备项目</w:t>
            </w:r>
          </w:p>
        </w:tc>
        <w:tc>
          <w:tcPr>
            <w:tcW w:w="2040" w:type="pct"/>
            <w:shd w:val="clear" w:color="auto" w:fill="auto"/>
            <w:vAlign w:val="center"/>
          </w:tcPr>
          <w:p w14:paraId="57808A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金河镇储备土地约800亩（其中金河工业园600亩）；西关林家村土地储备约157亩</w:t>
            </w:r>
          </w:p>
        </w:tc>
        <w:tc>
          <w:tcPr>
            <w:tcW w:w="460" w:type="pct"/>
            <w:shd w:val="clear" w:color="auto" w:fill="auto"/>
            <w:vAlign w:val="center"/>
          </w:tcPr>
          <w:p w14:paraId="198ECE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B7084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1E2C3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77" w:type="pct"/>
            <w:shd w:val="clear" w:color="auto" w:fill="auto"/>
            <w:vAlign w:val="center"/>
          </w:tcPr>
          <w:p w14:paraId="1D8565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2.1</w:t>
            </w:r>
          </w:p>
        </w:tc>
        <w:tc>
          <w:tcPr>
            <w:tcW w:w="319" w:type="pct"/>
            <w:shd w:val="clear" w:color="auto" w:fill="auto"/>
            <w:vAlign w:val="center"/>
          </w:tcPr>
          <w:p w14:paraId="19A5F9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A4087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C661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6FE985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288</w:t>
            </w:r>
          </w:p>
        </w:tc>
        <w:tc>
          <w:tcPr>
            <w:tcW w:w="490" w:type="pct"/>
            <w:shd w:val="clear" w:color="auto" w:fill="auto"/>
            <w:vAlign w:val="center"/>
          </w:tcPr>
          <w:p w14:paraId="12F568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引渭渠市区段环境整治提升项目</w:t>
            </w:r>
          </w:p>
        </w:tc>
        <w:tc>
          <w:tcPr>
            <w:tcW w:w="2040" w:type="pct"/>
            <w:shd w:val="clear" w:color="auto" w:fill="auto"/>
            <w:vAlign w:val="center"/>
          </w:tcPr>
          <w:p w14:paraId="2DB90D6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东西长约25公里、南北宽约0.5公里，主要实施渠面覆盖、绿化、停车场、护栏等，完善城市功能，交通路网梳理，城市环境提升</w:t>
            </w:r>
          </w:p>
        </w:tc>
        <w:tc>
          <w:tcPr>
            <w:tcW w:w="460" w:type="pct"/>
            <w:shd w:val="clear" w:color="auto" w:fill="auto"/>
            <w:vAlign w:val="center"/>
          </w:tcPr>
          <w:p w14:paraId="6BA4D0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4929516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0909F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w:t>
            </w:r>
          </w:p>
        </w:tc>
        <w:tc>
          <w:tcPr>
            <w:tcW w:w="377" w:type="pct"/>
            <w:shd w:val="clear" w:color="auto" w:fill="auto"/>
            <w:vAlign w:val="center"/>
          </w:tcPr>
          <w:p w14:paraId="133D4D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1768A8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B0E5F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区住房和城乡建设局           </w:t>
            </w:r>
          </w:p>
        </w:tc>
      </w:tr>
      <w:tr w14:paraId="598A1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728977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r>
              <w:rPr>
                <w:rFonts w:ascii="仿宋_GB2312" w:hAnsi="宋体" w:eastAsia="仿宋_GB2312" w:cs="宋体"/>
                <w:kern w:val="0"/>
                <w:sz w:val="20"/>
                <w:szCs w:val="20"/>
              </w:rPr>
              <w:t>8</w:t>
            </w:r>
            <w:r>
              <w:rPr>
                <w:rFonts w:hint="eastAsia" w:ascii="仿宋_GB2312" w:hAnsi="宋体" w:eastAsia="仿宋_GB2312" w:cs="宋体"/>
                <w:kern w:val="0"/>
                <w:sz w:val="20"/>
                <w:szCs w:val="20"/>
              </w:rPr>
              <w:t>9</w:t>
            </w:r>
          </w:p>
        </w:tc>
        <w:tc>
          <w:tcPr>
            <w:tcW w:w="490" w:type="pct"/>
            <w:shd w:val="clear" w:color="auto" w:fill="auto"/>
            <w:vAlign w:val="center"/>
          </w:tcPr>
          <w:p w14:paraId="7861B4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金台区城市品质提升建设项目</w:t>
            </w:r>
          </w:p>
        </w:tc>
        <w:tc>
          <w:tcPr>
            <w:tcW w:w="2040" w:type="pct"/>
            <w:shd w:val="clear" w:color="auto" w:fill="auto"/>
            <w:vAlign w:val="center"/>
          </w:tcPr>
          <w:p w14:paraId="317ED026">
            <w:pPr>
              <w:adjustRightInd w:val="0"/>
              <w:snapToGrid w:val="0"/>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对金台区城区环境亮化、绿化进行改造提升，新建城市雕塑50处，场地绿化13500平方米，更换电力电缆15000米，安装照明路灯1000盏</w:t>
            </w:r>
          </w:p>
        </w:tc>
        <w:tc>
          <w:tcPr>
            <w:tcW w:w="460" w:type="pct"/>
            <w:shd w:val="clear" w:color="auto" w:fill="auto"/>
            <w:vAlign w:val="center"/>
          </w:tcPr>
          <w:p w14:paraId="7330A1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金台区城区</w:t>
            </w:r>
          </w:p>
        </w:tc>
        <w:tc>
          <w:tcPr>
            <w:tcW w:w="374" w:type="pct"/>
            <w:shd w:val="clear" w:color="auto" w:fill="auto"/>
            <w:vAlign w:val="center"/>
          </w:tcPr>
          <w:p w14:paraId="047D5C3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97C83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45594C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135C93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16311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p>
        </w:tc>
      </w:tr>
      <w:tr w14:paraId="3CE02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756" w:type="pct"/>
            <w:gridSpan w:val="3"/>
            <w:shd w:val="clear" w:color="auto" w:fill="auto"/>
            <w:vAlign w:val="center"/>
          </w:tcPr>
          <w:p w14:paraId="580224A3">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九、乡村振兴项目（31个）</w:t>
            </w:r>
          </w:p>
        </w:tc>
        <w:tc>
          <w:tcPr>
            <w:tcW w:w="460" w:type="pct"/>
            <w:shd w:val="clear" w:color="auto" w:fill="auto"/>
            <w:vAlign w:val="center"/>
          </w:tcPr>
          <w:p w14:paraId="3818C4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0484FE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E7400C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48.2535</w:t>
            </w:r>
          </w:p>
        </w:tc>
        <w:tc>
          <w:tcPr>
            <w:tcW w:w="377" w:type="pct"/>
            <w:shd w:val="clear" w:color="auto" w:fill="auto"/>
            <w:vAlign w:val="center"/>
          </w:tcPr>
          <w:p w14:paraId="1BC6C9D5">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32.2535</w:t>
            </w:r>
          </w:p>
        </w:tc>
        <w:tc>
          <w:tcPr>
            <w:tcW w:w="319" w:type="pct"/>
            <w:shd w:val="clear" w:color="auto" w:fill="auto"/>
            <w:vAlign w:val="center"/>
          </w:tcPr>
          <w:p w14:paraId="7B304E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3E72DD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EA20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1A0B21F8">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64629EAA">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现代农业（23）</w:t>
            </w:r>
          </w:p>
        </w:tc>
        <w:tc>
          <w:tcPr>
            <w:tcW w:w="2040" w:type="pct"/>
            <w:shd w:val="clear" w:color="auto" w:fill="auto"/>
            <w:vAlign w:val="center"/>
          </w:tcPr>
          <w:p w14:paraId="32DEFD76">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18D9BA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30290E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27ED0FB8">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41.6835</w:t>
            </w:r>
          </w:p>
        </w:tc>
        <w:tc>
          <w:tcPr>
            <w:tcW w:w="377" w:type="pct"/>
            <w:shd w:val="clear" w:color="auto" w:fill="auto"/>
            <w:vAlign w:val="center"/>
          </w:tcPr>
          <w:p w14:paraId="73A0E74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25.6835</w:t>
            </w:r>
          </w:p>
        </w:tc>
        <w:tc>
          <w:tcPr>
            <w:tcW w:w="319" w:type="pct"/>
            <w:shd w:val="clear" w:color="auto" w:fill="auto"/>
            <w:vAlign w:val="center"/>
          </w:tcPr>
          <w:p w14:paraId="09E1FA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EEFEB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B097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1" w:hRule="atLeast"/>
        </w:trPr>
        <w:tc>
          <w:tcPr>
            <w:tcW w:w="225" w:type="pct"/>
            <w:shd w:val="clear" w:color="auto" w:fill="auto"/>
            <w:vAlign w:val="center"/>
          </w:tcPr>
          <w:p w14:paraId="7B79633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290</w:t>
            </w:r>
          </w:p>
        </w:tc>
        <w:tc>
          <w:tcPr>
            <w:tcW w:w="490" w:type="pct"/>
            <w:shd w:val="clear" w:color="auto" w:fill="auto"/>
            <w:vAlign w:val="center"/>
          </w:tcPr>
          <w:p w14:paraId="67E92D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金台区数字农业信息化建设项目</w:t>
            </w:r>
          </w:p>
        </w:tc>
        <w:tc>
          <w:tcPr>
            <w:tcW w:w="2040" w:type="pct"/>
            <w:shd w:val="clear" w:color="auto" w:fill="auto"/>
            <w:vAlign w:val="center"/>
          </w:tcPr>
          <w:p w14:paraId="5366EE4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建设全区4镇5街68个村的农村信息入户系统，工程数字农业信息培训中心，电子信息系统软件平台；购买数字化配套设备包括扫描仪、非线性编辑系统、计算机、打印机等设备</w:t>
            </w:r>
          </w:p>
        </w:tc>
        <w:tc>
          <w:tcPr>
            <w:tcW w:w="460" w:type="pct"/>
            <w:shd w:val="clear" w:color="auto" w:fill="auto"/>
            <w:vAlign w:val="center"/>
          </w:tcPr>
          <w:p w14:paraId="68F386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D408B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95EB9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5263D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7E25E0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22C14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EC42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182389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291</w:t>
            </w:r>
          </w:p>
        </w:tc>
        <w:tc>
          <w:tcPr>
            <w:tcW w:w="490" w:type="pct"/>
            <w:shd w:val="clear" w:color="auto" w:fill="auto"/>
            <w:vAlign w:val="center"/>
          </w:tcPr>
          <w:p w14:paraId="4F44A6A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金台区绿色高效农业产业示范园项目</w:t>
            </w:r>
          </w:p>
        </w:tc>
        <w:tc>
          <w:tcPr>
            <w:tcW w:w="2040" w:type="pct"/>
            <w:shd w:val="clear" w:color="auto" w:fill="auto"/>
            <w:vAlign w:val="center"/>
          </w:tcPr>
          <w:p w14:paraId="0276F44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建设设施大棚300亩，配套灌溉管网、引水工程、培训中心、农产品质量认证中心、繁育中心、示范园等</w:t>
            </w:r>
          </w:p>
        </w:tc>
        <w:tc>
          <w:tcPr>
            <w:tcW w:w="460" w:type="pct"/>
            <w:shd w:val="clear" w:color="auto" w:fill="auto"/>
            <w:vAlign w:val="center"/>
          </w:tcPr>
          <w:p w14:paraId="58EA50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金河镇胜利西塬和紫塬</w:t>
            </w:r>
          </w:p>
        </w:tc>
        <w:tc>
          <w:tcPr>
            <w:tcW w:w="374" w:type="pct"/>
            <w:shd w:val="clear" w:color="auto" w:fill="auto"/>
            <w:vAlign w:val="center"/>
          </w:tcPr>
          <w:p w14:paraId="08750F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D791C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9A274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279A26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48C988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25320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25" w:hRule="atLeast"/>
        </w:trPr>
        <w:tc>
          <w:tcPr>
            <w:tcW w:w="225" w:type="pct"/>
            <w:shd w:val="clear" w:color="auto" w:fill="auto"/>
            <w:vAlign w:val="center"/>
          </w:tcPr>
          <w:p w14:paraId="7C289E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292</w:t>
            </w:r>
          </w:p>
        </w:tc>
        <w:tc>
          <w:tcPr>
            <w:tcW w:w="490" w:type="pct"/>
            <w:shd w:val="clear" w:color="auto" w:fill="auto"/>
            <w:vAlign w:val="center"/>
          </w:tcPr>
          <w:p w14:paraId="2A1A01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金台区金河镇西原智慧果蔬产业园项目</w:t>
            </w:r>
          </w:p>
        </w:tc>
        <w:tc>
          <w:tcPr>
            <w:tcW w:w="2040" w:type="pct"/>
            <w:shd w:val="clear" w:color="auto" w:fill="auto"/>
            <w:vAlign w:val="center"/>
          </w:tcPr>
          <w:p w14:paraId="2E6FCD2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扩建设施农业5000亩，建设园区生产调度中心、仓储中心、</w:t>
            </w:r>
            <w:r>
              <w:rPr>
                <w:rFonts w:hint="eastAsia" w:ascii="仿宋_GB2312" w:hAnsi="宋体" w:eastAsia="仿宋_GB2312" w:cs="宋体"/>
                <w:kern w:val="0"/>
                <w:sz w:val="20"/>
                <w:szCs w:val="20"/>
                <w:lang w:eastAsia="zh-CN"/>
              </w:rPr>
              <w:t>分拣</w:t>
            </w:r>
            <w:r>
              <w:rPr>
                <w:rFonts w:hint="eastAsia" w:ascii="仿宋_GB2312" w:hAnsi="宋体" w:eastAsia="仿宋_GB2312" w:cs="宋体"/>
                <w:kern w:val="0"/>
                <w:sz w:val="20"/>
                <w:szCs w:val="20"/>
              </w:rPr>
              <w:t>配送中心等，建设农业生产物联网管理系统、建设推广电子商务系统，建设农产品质量安全全程追溯系统等</w:t>
            </w:r>
          </w:p>
        </w:tc>
        <w:tc>
          <w:tcPr>
            <w:tcW w:w="460" w:type="pct"/>
            <w:shd w:val="clear" w:color="auto" w:fill="auto"/>
            <w:vAlign w:val="center"/>
          </w:tcPr>
          <w:p w14:paraId="0021DC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63673A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0D407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598944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233BDD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457025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8D8E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648DC6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293</w:t>
            </w:r>
          </w:p>
        </w:tc>
        <w:tc>
          <w:tcPr>
            <w:tcW w:w="490" w:type="pct"/>
            <w:shd w:val="clear" w:color="auto" w:fill="auto"/>
            <w:vAlign w:val="center"/>
          </w:tcPr>
          <w:p w14:paraId="15263F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金台区玉池产业融合示范园项目</w:t>
            </w:r>
          </w:p>
        </w:tc>
        <w:tc>
          <w:tcPr>
            <w:tcW w:w="2040" w:type="pct"/>
            <w:shd w:val="clear" w:color="auto" w:fill="auto"/>
            <w:vAlign w:val="center"/>
          </w:tcPr>
          <w:p w14:paraId="06F2679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占地约350亩，建设玉池田园综合体、特色种养园、果蔬采摘园、观光体验园、农产品展示中心、精品民宿、冷库等，配套给排水、道路硬化美化等设施</w:t>
            </w:r>
          </w:p>
        </w:tc>
        <w:tc>
          <w:tcPr>
            <w:tcW w:w="460" w:type="pct"/>
            <w:shd w:val="clear" w:color="auto" w:fill="auto"/>
            <w:vAlign w:val="center"/>
          </w:tcPr>
          <w:p w14:paraId="25BF21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5727F8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F51CE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77" w:type="pct"/>
            <w:shd w:val="clear" w:color="auto" w:fill="auto"/>
            <w:vAlign w:val="center"/>
          </w:tcPr>
          <w:p w14:paraId="466E54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w:t>
            </w:r>
          </w:p>
        </w:tc>
        <w:tc>
          <w:tcPr>
            <w:tcW w:w="319" w:type="pct"/>
            <w:shd w:val="clear" w:color="auto" w:fill="auto"/>
            <w:vAlign w:val="center"/>
          </w:tcPr>
          <w:p w14:paraId="6E1C7D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0BB4688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0965C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5" w:hRule="atLeast"/>
        </w:trPr>
        <w:tc>
          <w:tcPr>
            <w:tcW w:w="225" w:type="pct"/>
            <w:shd w:val="clear" w:color="auto" w:fill="auto"/>
            <w:vAlign w:val="center"/>
          </w:tcPr>
          <w:p w14:paraId="3F9266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294</w:t>
            </w:r>
          </w:p>
        </w:tc>
        <w:tc>
          <w:tcPr>
            <w:tcW w:w="490" w:type="pct"/>
            <w:shd w:val="clear" w:color="auto" w:fill="auto"/>
            <w:vAlign w:val="center"/>
          </w:tcPr>
          <w:p w14:paraId="62304F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金台区百林创意观光园项目</w:t>
            </w:r>
          </w:p>
        </w:tc>
        <w:tc>
          <w:tcPr>
            <w:tcW w:w="2040" w:type="pct"/>
            <w:shd w:val="clear" w:color="auto" w:fill="auto"/>
            <w:vAlign w:val="center"/>
          </w:tcPr>
          <w:p w14:paraId="5BF5391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建设500亩无刺花椒园、500亩趣味果蔬园、150亩石榴园、300亩啤酒花园、窑洞避暑民宿等，配套建设水、电、路等基础设施</w:t>
            </w:r>
          </w:p>
        </w:tc>
        <w:tc>
          <w:tcPr>
            <w:tcW w:w="460" w:type="pct"/>
            <w:shd w:val="clear" w:color="auto" w:fill="auto"/>
            <w:vAlign w:val="center"/>
          </w:tcPr>
          <w:p w14:paraId="25D647D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金河镇东塬</w:t>
            </w:r>
          </w:p>
        </w:tc>
        <w:tc>
          <w:tcPr>
            <w:tcW w:w="374" w:type="pct"/>
            <w:shd w:val="clear" w:color="auto" w:fill="auto"/>
            <w:vAlign w:val="center"/>
          </w:tcPr>
          <w:p w14:paraId="70960C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2021-2024</w:t>
            </w:r>
          </w:p>
        </w:tc>
        <w:tc>
          <w:tcPr>
            <w:tcW w:w="321" w:type="pct"/>
            <w:shd w:val="clear" w:color="auto" w:fill="auto"/>
            <w:vAlign w:val="center"/>
          </w:tcPr>
          <w:p w14:paraId="5F631A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6901E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9945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社会资金</w:t>
            </w:r>
          </w:p>
        </w:tc>
        <w:tc>
          <w:tcPr>
            <w:tcW w:w="392" w:type="pct"/>
            <w:shd w:val="clear" w:color="auto" w:fill="auto"/>
            <w:vAlign w:val="center"/>
          </w:tcPr>
          <w:p w14:paraId="64DCBA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3CC27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477687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295</w:t>
            </w:r>
          </w:p>
        </w:tc>
        <w:tc>
          <w:tcPr>
            <w:tcW w:w="490" w:type="pct"/>
            <w:shd w:val="clear" w:color="auto" w:fill="auto"/>
            <w:vAlign w:val="center"/>
          </w:tcPr>
          <w:p w14:paraId="2386A4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金台区硖石镇西普陀农产品集散交易中心</w:t>
            </w:r>
          </w:p>
        </w:tc>
        <w:tc>
          <w:tcPr>
            <w:tcW w:w="2040" w:type="pct"/>
            <w:shd w:val="clear" w:color="auto" w:fill="auto"/>
            <w:vAlign w:val="center"/>
          </w:tcPr>
          <w:p w14:paraId="64A84A3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建设钢构大棚6000平方米，楼顶安装太阳能光伏发电，配套道路、绿化、停车场等设施</w:t>
            </w:r>
          </w:p>
        </w:tc>
        <w:tc>
          <w:tcPr>
            <w:tcW w:w="460" w:type="pct"/>
            <w:shd w:val="clear" w:color="auto" w:fill="auto"/>
            <w:vAlign w:val="center"/>
          </w:tcPr>
          <w:p w14:paraId="6DC3F1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01065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72A51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77" w:type="pct"/>
            <w:shd w:val="clear" w:color="auto" w:fill="auto"/>
            <w:vAlign w:val="center"/>
          </w:tcPr>
          <w:p w14:paraId="333CB8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0.06 </w:t>
            </w:r>
          </w:p>
        </w:tc>
        <w:tc>
          <w:tcPr>
            <w:tcW w:w="319" w:type="pct"/>
            <w:shd w:val="clear" w:color="auto" w:fill="auto"/>
            <w:vAlign w:val="center"/>
          </w:tcPr>
          <w:p w14:paraId="20B920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CC1129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D0F0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3" w:hRule="atLeast"/>
        </w:trPr>
        <w:tc>
          <w:tcPr>
            <w:tcW w:w="225" w:type="pct"/>
            <w:shd w:val="clear" w:color="auto" w:fill="auto"/>
            <w:vAlign w:val="center"/>
          </w:tcPr>
          <w:p w14:paraId="253141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296</w:t>
            </w:r>
          </w:p>
        </w:tc>
        <w:tc>
          <w:tcPr>
            <w:tcW w:w="490" w:type="pct"/>
            <w:shd w:val="clear" w:color="auto" w:fill="auto"/>
            <w:vAlign w:val="center"/>
          </w:tcPr>
          <w:p w14:paraId="507719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金台区高标准农田建设项目</w:t>
            </w:r>
          </w:p>
        </w:tc>
        <w:tc>
          <w:tcPr>
            <w:tcW w:w="2040" w:type="pct"/>
            <w:shd w:val="clear" w:color="auto" w:fill="auto"/>
            <w:vAlign w:val="center"/>
          </w:tcPr>
          <w:p w14:paraId="3713DE4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建设高标准农田约4.6万亩，整修田间道路，新建蓄水池及灌溉配套设施等</w:t>
            </w:r>
          </w:p>
        </w:tc>
        <w:tc>
          <w:tcPr>
            <w:tcW w:w="460" w:type="pct"/>
            <w:shd w:val="clear" w:color="auto" w:fill="auto"/>
            <w:vAlign w:val="center"/>
          </w:tcPr>
          <w:p w14:paraId="388C5F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56EF20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4F2A1B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59BFBBC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03C53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3076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F51A1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544E8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67306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5D4D38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297</w:t>
            </w:r>
          </w:p>
        </w:tc>
        <w:tc>
          <w:tcPr>
            <w:tcW w:w="490" w:type="pct"/>
            <w:shd w:val="clear" w:color="auto" w:fill="auto"/>
            <w:vAlign w:val="center"/>
          </w:tcPr>
          <w:p w14:paraId="483C81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金台区巴旦木引进种植项目</w:t>
            </w:r>
          </w:p>
        </w:tc>
        <w:tc>
          <w:tcPr>
            <w:tcW w:w="2040" w:type="pct"/>
            <w:shd w:val="clear" w:color="auto" w:fill="auto"/>
            <w:vAlign w:val="center"/>
          </w:tcPr>
          <w:p w14:paraId="4C245D4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引进栽植巴旦木嫁接成苗8000亩</w:t>
            </w:r>
          </w:p>
        </w:tc>
        <w:tc>
          <w:tcPr>
            <w:tcW w:w="460" w:type="pct"/>
            <w:shd w:val="clear" w:color="auto" w:fill="auto"/>
            <w:vAlign w:val="center"/>
          </w:tcPr>
          <w:p w14:paraId="217C11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w:t>
            </w:r>
          </w:p>
        </w:tc>
        <w:tc>
          <w:tcPr>
            <w:tcW w:w="374" w:type="pct"/>
            <w:shd w:val="clear" w:color="auto" w:fill="auto"/>
            <w:vAlign w:val="center"/>
          </w:tcPr>
          <w:p w14:paraId="52450D9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FBA1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77" w:type="pct"/>
            <w:shd w:val="clear" w:color="auto" w:fill="auto"/>
            <w:vAlign w:val="center"/>
          </w:tcPr>
          <w:p w14:paraId="7FE472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w:t>
            </w:r>
          </w:p>
        </w:tc>
        <w:tc>
          <w:tcPr>
            <w:tcW w:w="319" w:type="pct"/>
            <w:shd w:val="clear" w:color="auto" w:fill="auto"/>
            <w:vAlign w:val="center"/>
          </w:tcPr>
          <w:p w14:paraId="7F8CD17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企业自筹</w:t>
            </w:r>
          </w:p>
        </w:tc>
        <w:tc>
          <w:tcPr>
            <w:tcW w:w="392" w:type="pct"/>
            <w:shd w:val="clear" w:color="auto" w:fill="auto"/>
            <w:vAlign w:val="center"/>
          </w:tcPr>
          <w:p w14:paraId="0DF2A0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29D63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42" w:hRule="atLeast"/>
        </w:trPr>
        <w:tc>
          <w:tcPr>
            <w:tcW w:w="225" w:type="pct"/>
            <w:shd w:val="clear" w:color="auto" w:fill="auto"/>
            <w:vAlign w:val="center"/>
          </w:tcPr>
          <w:p w14:paraId="0465E3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298</w:t>
            </w:r>
          </w:p>
        </w:tc>
        <w:tc>
          <w:tcPr>
            <w:tcW w:w="490" w:type="pct"/>
            <w:shd w:val="clear" w:color="auto" w:fill="auto"/>
            <w:vAlign w:val="center"/>
          </w:tcPr>
          <w:p w14:paraId="2DCF14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五七村大棚蔬菜建设项目</w:t>
            </w:r>
          </w:p>
        </w:tc>
        <w:tc>
          <w:tcPr>
            <w:tcW w:w="2040" w:type="pct"/>
            <w:shd w:val="clear" w:color="auto" w:fill="auto"/>
            <w:vAlign w:val="center"/>
          </w:tcPr>
          <w:p w14:paraId="55A1513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新建夹芯板材料厂房650</w:t>
            </w:r>
            <w:r>
              <w:rPr>
                <w:rFonts w:hint="eastAsia" w:ascii="仿宋_GB2312" w:hAnsi="宋体" w:eastAsia="仿宋_GB2312" w:cs="宋体"/>
                <w:kern w:val="0"/>
                <w:sz w:val="20"/>
                <w:szCs w:val="20"/>
                <w:lang w:eastAsia="zh-CN"/>
              </w:rPr>
              <w:t>平方</w:t>
            </w:r>
            <w:r>
              <w:rPr>
                <w:rFonts w:hint="eastAsia" w:ascii="仿宋_GB2312" w:hAnsi="宋体" w:eastAsia="仿宋_GB2312" w:cs="宋体"/>
                <w:kern w:val="0"/>
                <w:sz w:val="20"/>
                <w:szCs w:val="20"/>
              </w:rPr>
              <w:t>米，钢架结构水汽循环式沙培大棚3个，占地面积3500平方米，配套建设蔬菜配送中心、冷库等设施设备</w:t>
            </w:r>
          </w:p>
        </w:tc>
        <w:tc>
          <w:tcPr>
            <w:tcW w:w="460" w:type="pct"/>
            <w:shd w:val="clear" w:color="auto" w:fill="auto"/>
            <w:vAlign w:val="center"/>
          </w:tcPr>
          <w:p w14:paraId="7FF709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7D196F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5AF4B8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77" w:type="pct"/>
            <w:shd w:val="clear" w:color="auto" w:fill="auto"/>
            <w:vAlign w:val="center"/>
          </w:tcPr>
          <w:p w14:paraId="7FFA25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0.0285</w:t>
            </w:r>
          </w:p>
        </w:tc>
        <w:tc>
          <w:tcPr>
            <w:tcW w:w="319" w:type="pct"/>
            <w:shd w:val="clear" w:color="auto" w:fill="auto"/>
            <w:vAlign w:val="center"/>
          </w:tcPr>
          <w:p w14:paraId="40B933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FE234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71678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9" w:hRule="atLeast"/>
        </w:trPr>
        <w:tc>
          <w:tcPr>
            <w:tcW w:w="225" w:type="pct"/>
            <w:shd w:val="clear" w:color="auto" w:fill="auto"/>
            <w:vAlign w:val="center"/>
          </w:tcPr>
          <w:p w14:paraId="4E8989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299</w:t>
            </w:r>
          </w:p>
        </w:tc>
        <w:tc>
          <w:tcPr>
            <w:tcW w:w="490" w:type="pct"/>
            <w:shd w:val="clear" w:color="auto" w:fill="auto"/>
            <w:vAlign w:val="center"/>
          </w:tcPr>
          <w:p w14:paraId="4DDA87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金台区低效林改造及退耕还林品种改良项目</w:t>
            </w:r>
          </w:p>
        </w:tc>
        <w:tc>
          <w:tcPr>
            <w:tcW w:w="2040" w:type="pct"/>
            <w:shd w:val="clear" w:color="auto" w:fill="auto"/>
            <w:vAlign w:val="center"/>
          </w:tcPr>
          <w:p w14:paraId="493A57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建设规模0.3万亩，对林分密度过大的林地疏伐，林相改造提升；对品种老化、经济效益差的林地林木品种进行改良提升</w:t>
            </w:r>
          </w:p>
        </w:tc>
        <w:tc>
          <w:tcPr>
            <w:tcW w:w="460" w:type="pct"/>
            <w:shd w:val="clear" w:color="auto" w:fill="auto"/>
            <w:vAlign w:val="center"/>
          </w:tcPr>
          <w:p w14:paraId="1F4BCD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0687A9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556B68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77" w:type="pct"/>
            <w:shd w:val="clear" w:color="auto" w:fill="auto"/>
            <w:vAlign w:val="center"/>
          </w:tcPr>
          <w:p w14:paraId="4316E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w:t>
            </w:r>
          </w:p>
        </w:tc>
        <w:tc>
          <w:tcPr>
            <w:tcW w:w="319" w:type="pct"/>
            <w:shd w:val="clear" w:color="auto" w:fill="auto"/>
            <w:vAlign w:val="center"/>
          </w:tcPr>
          <w:p w14:paraId="0B8F9D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12FE9E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699B3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5689BD1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300</w:t>
            </w:r>
          </w:p>
        </w:tc>
        <w:tc>
          <w:tcPr>
            <w:tcW w:w="490" w:type="pct"/>
            <w:shd w:val="clear" w:color="auto" w:fill="auto"/>
            <w:vAlign w:val="center"/>
          </w:tcPr>
          <w:p w14:paraId="1857375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金台区三北防护林退化防护林地修复项目</w:t>
            </w:r>
          </w:p>
        </w:tc>
        <w:tc>
          <w:tcPr>
            <w:tcW w:w="2040" w:type="pct"/>
            <w:shd w:val="clear" w:color="auto" w:fill="auto"/>
            <w:vAlign w:val="center"/>
          </w:tcPr>
          <w:p w14:paraId="28A9D32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建设规模0.5万亩，对林分密度过大的林地疏伐，林相改造提升</w:t>
            </w:r>
          </w:p>
        </w:tc>
        <w:tc>
          <w:tcPr>
            <w:tcW w:w="460" w:type="pct"/>
            <w:shd w:val="clear" w:color="auto" w:fill="auto"/>
            <w:vAlign w:val="center"/>
          </w:tcPr>
          <w:p w14:paraId="709DA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c>
          <w:tcPr>
            <w:tcW w:w="374" w:type="pct"/>
            <w:shd w:val="clear" w:color="auto" w:fill="auto"/>
            <w:vAlign w:val="center"/>
          </w:tcPr>
          <w:p w14:paraId="1C6767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590FA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77" w:type="pct"/>
            <w:shd w:val="clear" w:color="auto" w:fill="auto"/>
            <w:vAlign w:val="center"/>
          </w:tcPr>
          <w:p w14:paraId="5B5A26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0.025</w:t>
            </w:r>
          </w:p>
        </w:tc>
        <w:tc>
          <w:tcPr>
            <w:tcW w:w="319" w:type="pct"/>
            <w:shd w:val="clear" w:color="auto" w:fill="auto"/>
            <w:vAlign w:val="center"/>
          </w:tcPr>
          <w:p w14:paraId="40DB44F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0545B1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65C74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60" w:hRule="atLeast"/>
        </w:trPr>
        <w:tc>
          <w:tcPr>
            <w:tcW w:w="225" w:type="pct"/>
            <w:shd w:val="clear" w:color="auto" w:fill="auto"/>
            <w:vAlign w:val="center"/>
          </w:tcPr>
          <w:p w14:paraId="28803E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301</w:t>
            </w:r>
          </w:p>
        </w:tc>
        <w:tc>
          <w:tcPr>
            <w:tcW w:w="490" w:type="pct"/>
            <w:shd w:val="clear" w:color="auto" w:fill="auto"/>
            <w:vAlign w:val="center"/>
          </w:tcPr>
          <w:p w14:paraId="13FA65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金台区蟠龙镇大棚花卉体验园项目</w:t>
            </w:r>
          </w:p>
        </w:tc>
        <w:tc>
          <w:tcPr>
            <w:tcW w:w="2040" w:type="pct"/>
            <w:shd w:val="clear" w:color="auto" w:fill="auto"/>
            <w:vAlign w:val="center"/>
          </w:tcPr>
          <w:p w14:paraId="4FA1016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在韩家村，塔寺头村及钟楼四村，建设规模化大棚种植：总占地500亩，新建50栋单体花卉大棚，主要种植花卉、果业、蔬菜等，同时发展养殖业。建设花卉体验园，观光采摘体验园配套农家乐等</w:t>
            </w:r>
          </w:p>
        </w:tc>
        <w:tc>
          <w:tcPr>
            <w:tcW w:w="460" w:type="pct"/>
            <w:shd w:val="clear" w:color="auto" w:fill="auto"/>
            <w:vAlign w:val="center"/>
          </w:tcPr>
          <w:p w14:paraId="26136D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42762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C8245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77" w:type="pct"/>
            <w:shd w:val="clear" w:color="auto" w:fill="auto"/>
            <w:vAlign w:val="center"/>
          </w:tcPr>
          <w:p w14:paraId="0305D60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0.45</w:t>
            </w:r>
          </w:p>
        </w:tc>
        <w:tc>
          <w:tcPr>
            <w:tcW w:w="319" w:type="pct"/>
            <w:shd w:val="clear" w:color="auto" w:fill="auto"/>
            <w:vAlign w:val="center"/>
          </w:tcPr>
          <w:p w14:paraId="2FCD549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CA549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2F9B2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2EA886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302</w:t>
            </w:r>
          </w:p>
        </w:tc>
        <w:tc>
          <w:tcPr>
            <w:tcW w:w="490" w:type="pct"/>
            <w:shd w:val="clear" w:color="auto" w:fill="auto"/>
            <w:vAlign w:val="center"/>
          </w:tcPr>
          <w:p w14:paraId="77FCFA1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金台区紫塬村田园综合体项目</w:t>
            </w:r>
          </w:p>
        </w:tc>
        <w:tc>
          <w:tcPr>
            <w:tcW w:w="2040" w:type="pct"/>
            <w:shd w:val="clear" w:color="auto" w:fill="auto"/>
            <w:vAlign w:val="center"/>
          </w:tcPr>
          <w:p w14:paraId="74E4524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1000亩，建设集农业、休闲度假、游憩运动、养生养老、科普教育、美丽乡村建设、农产品深加工等为一体的田园综合体，其中：农业设施350亩，露天瓜果、花卉苗木450亩，其他农业50亩，科普教育基地50亩，康养社区50亩，配套建设广场、管理服务等设施</w:t>
            </w:r>
          </w:p>
        </w:tc>
        <w:tc>
          <w:tcPr>
            <w:tcW w:w="460" w:type="pct"/>
            <w:shd w:val="clear" w:color="auto" w:fill="auto"/>
            <w:vAlign w:val="center"/>
          </w:tcPr>
          <w:p w14:paraId="7CE8B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金台区金河镇紫塬村</w:t>
            </w:r>
          </w:p>
        </w:tc>
        <w:tc>
          <w:tcPr>
            <w:tcW w:w="374" w:type="pct"/>
            <w:shd w:val="clear" w:color="auto" w:fill="auto"/>
            <w:vAlign w:val="center"/>
          </w:tcPr>
          <w:p w14:paraId="6ECCD8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7AE6A2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7D21E33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026577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8827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60041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723D8F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303</w:t>
            </w:r>
          </w:p>
        </w:tc>
        <w:tc>
          <w:tcPr>
            <w:tcW w:w="490" w:type="pct"/>
            <w:shd w:val="clear" w:color="auto" w:fill="auto"/>
            <w:vAlign w:val="center"/>
          </w:tcPr>
          <w:p w14:paraId="401120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金河镇农业设施及基础设施建设项目</w:t>
            </w:r>
          </w:p>
        </w:tc>
        <w:tc>
          <w:tcPr>
            <w:tcW w:w="2040" w:type="pct"/>
            <w:shd w:val="clear" w:color="auto" w:fill="auto"/>
            <w:vAlign w:val="center"/>
          </w:tcPr>
          <w:p w14:paraId="56D0842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新建200亩桃园，新建蓄水池2座及灌溉配套设施等，建设产业园区库房1座，面积2300平方米，新建4座日光大棚、6座高拱棚和库房、蓄水池等配套设施</w:t>
            </w:r>
          </w:p>
        </w:tc>
        <w:tc>
          <w:tcPr>
            <w:tcW w:w="460" w:type="pct"/>
            <w:shd w:val="clear" w:color="auto" w:fill="auto"/>
            <w:vAlign w:val="center"/>
          </w:tcPr>
          <w:p w14:paraId="541B4D0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w:t>
            </w:r>
          </w:p>
        </w:tc>
        <w:tc>
          <w:tcPr>
            <w:tcW w:w="374" w:type="pct"/>
            <w:shd w:val="clear" w:color="auto" w:fill="auto"/>
            <w:vAlign w:val="center"/>
          </w:tcPr>
          <w:p w14:paraId="08788B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CA9C3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201D85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3EE486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F948FE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6325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5" w:hRule="atLeast"/>
        </w:trPr>
        <w:tc>
          <w:tcPr>
            <w:tcW w:w="225" w:type="pct"/>
            <w:shd w:val="clear" w:color="auto" w:fill="auto"/>
            <w:vAlign w:val="center"/>
          </w:tcPr>
          <w:p w14:paraId="2BE92F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304</w:t>
            </w:r>
          </w:p>
        </w:tc>
        <w:tc>
          <w:tcPr>
            <w:tcW w:w="490" w:type="pct"/>
            <w:shd w:val="clear" w:color="auto" w:fill="auto"/>
            <w:vAlign w:val="center"/>
          </w:tcPr>
          <w:p w14:paraId="0F81468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金台区万亩秦药材基地建设项目</w:t>
            </w:r>
          </w:p>
        </w:tc>
        <w:tc>
          <w:tcPr>
            <w:tcW w:w="2040" w:type="pct"/>
            <w:shd w:val="clear" w:color="auto" w:fill="auto"/>
            <w:vAlign w:val="center"/>
          </w:tcPr>
          <w:p w14:paraId="1B877B6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种植中药材达2万亩（种植柴胡、苍术、地肤子、党参），建设5个中药材农业示范园约5000亩，20个中药材种植专业合作社；培育引进中药制药企业和饮片加工企业2户；建成1个中药材专业交易市场，一栋综合楼，配套中医药商贸仓储物流园区，开发乡村中药</w:t>
            </w:r>
          </w:p>
        </w:tc>
        <w:tc>
          <w:tcPr>
            <w:tcW w:w="460" w:type="pct"/>
            <w:shd w:val="clear" w:color="auto" w:fill="auto"/>
            <w:vAlign w:val="center"/>
          </w:tcPr>
          <w:p w14:paraId="24D10C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372420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1BB9B4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77" w:type="pct"/>
            <w:shd w:val="clear" w:color="auto" w:fill="auto"/>
            <w:vAlign w:val="center"/>
          </w:tcPr>
          <w:p w14:paraId="500D6F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p>
        </w:tc>
        <w:tc>
          <w:tcPr>
            <w:tcW w:w="319" w:type="pct"/>
            <w:shd w:val="clear" w:color="auto" w:fill="auto"/>
            <w:vAlign w:val="center"/>
          </w:tcPr>
          <w:p w14:paraId="44C75B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04291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5C85E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2531725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305</w:t>
            </w:r>
          </w:p>
        </w:tc>
        <w:tc>
          <w:tcPr>
            <w:tcW w:w="490" w:type="pct"/>
            <w:shd w:val="clear" w:color="auto" w:fill="auto"/>
            <w:vAlign w:val="center"/>
          </w:tcPr>
          <w:p w14:paraId="651DB2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金台区龙川现代农业产业园项目</w:t>
            </w:r>
          </w:p>
        </w:tc>
        <w:tc>
          <w:tcPr>
            <w:tcW w:w="2040" w:type="pct"/>
            <w:shd w:val="clear" w:color="auto" w:fill="auto"/>
            <w:vAlign w:val="center"/>
          </w:tcPr>
          <w:p w14:paraId="764261E3">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以蟠龙塬北六村为主，以乡村旅游、乡村振兴、特色种植等产业主导，建成休闲、采摘、名优农产品加工基地</w:t>
            </w:r>
          </w:p>
        </w:tc>
        <w:tc>
          <w:tcPr>
            <w:tcW w:w="460" w:type="pct"/>
            <w:shd w:val="clear" w:color="auto" w:fill="auto"/>
            <w:vAlign w:val="center"/>
          </w:tcPr>
          <w:p w14:paraId="38E655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2DBAA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F3B4D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1513A7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F66484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13381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4FF14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026C14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306</w:t>
            </w:r>
          </w:p>
        </w:tc>
        <w:tc>
          <w:tcPr>
            <w:tcW w:w="490" w:type="pct"/>
            <w:shd w:val="clear" w:color="auto" w:fill="auto"/>
            <w:vAlign w:val="center"/>
          </w:tcPr>
          <w:p w14:paraId="43EF04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金台区硖石镇药材产业示范园建设项目</w:t>
            </w:r>
          </w:p>
        </w:tc>
        <w:tc>
          <w:tcPr>
            <w:tcW w:w="2040" w:type="pct"/>
            <w:shd w:val="clear" w:color="auto" w:fill="auto"/>
            <w:vAlign w:val="center"/>
          </w:tcPr>
          <w:p w14:paraId="6A3FF91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发展中药材2万亩，配套购置药材种植及采收农业机械，培育药材品种示范园，建设初加工车间、储藏库、药材质检中心及交易中心、培训中心等设施</w:t>
            </w:r>
          </w:p>
        </w:tc>
        <w:tc>
          <w:tcPr>
            <w:tcW w:w="460" w:type="pct"/>
            <w:shd w:val="clear" w:color="auto" w:fill="auto"/>
            <w:vAlign w:val="center"/>
          </w:tcPr>
          <w:p w14:paraId="68E187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2BF0AF0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F7470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77" w:type="pct"/>
            <w:shd w:val="clear" w:color="auto" w:fill="auto"/>
            <w:vAlign w:val="center"/>
          </w:tcPr>
          <w:p w14:paraId="2F60B6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1.2</w:t>
            </w:r>
          </w:p>
        </w:tc>
        <w:tc>
          <w:tcPr>
            <w:tcW w:w="319" w:type="pct"/>
            <w:shd w:val="clear" w:color="auto" w:fill="auto"/>
            <w:vAlign w:val="center"/>
          </w:tcPr>
          <w:p w14:paraId="157587C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9A803A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硖石镇</w:t>
            </w:r>
          </w:p>
        </w:tc>
      </w:tr>
      <w:tr w14:paraId="2352E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7" w:hRule="atLeast"/>
        </w:trPr>
        <w:tc>
          <w:tcPr>
            <w:tcW w:w="225" w:type="pct"/>
            <w:shd w:val="clear" w:color="auto" w:fill="auto"/>
            <w:vAlign w:val="center"/>
          </w:tcPr>
          <w:p w14:paraId="1CB8D86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307</w:t>
            </w:r>
          </w:p>
        </w:tc>
        <w:tc>
          <w:tcPr>
            <w:tcW w:w="490" w:type="pct"/>
            <w:shd w:val="clear" w:color="auto" w:fill="auto"/>
            <w:vAlign w:val="center"/>
          </w:tcPr>
          <w:p w14:paraId="2FFB91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金台区胜利塬果蔬采摘园建设项目</w:t>
            </w:r>
          </w:p>
        </w:tc>
        <w:tc>
          <w:tcPr>
            <w:tcW w:w="2040" w:type="pct"/>
            <w:shd w:val="clear" w:color="auto" w:fill="auto"/>
            <w:vAlign w:val="center"/>
          </w:tcPr>
          <w:p w14:paraId="37CA4F8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 147 亩，建设物流中心冷库 12000 平方米，生产基地冷库 4000 平方米，食品检验检疫中心 1000 平方米，购置运输车24辆，配套建设道路、给排水、通信、电力等设施</w:t>
            </w:r>
          </w:p>
        </w:tc>
        <w:tc>
          <w:tcPr>
            <w:tcW w:w="460" w:type="pct"/>
            <w:shd w:val="clear" w:color="auto" w:fill="auto"/>
            <w:vAlign w:val="center"/>
          </w:tcPr>
          <w:p w14:paraId="4684D73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48F232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3B999E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67EE27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E0523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A2466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4DD06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8" w:hRule="atLeast"/>
        </w:trPr>
        <w:tc>
          <w:tcPr>
            <w:tcW w:w="225" w:type="pct"/>
            <w:shd w:val="clear" w:color="auto" w:fill="auto"/>
            <w:vAlign w:val="center"/>
          </w:tcPr>
          <w:p w14:paraId="30386F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308</w:t>
            </w:r>
          </w:p>
        </w:tc>
        <w:tc>
          <w:tcPr>
            <w:tcW w:w="490" w:type="pct"/>
            <w:shd w:val="clear" w:color="auto" w:fill="auto"/>
            <w:vAlign w:val="center"/>
          </w:tcPr>
          <w:p w14:paraId="03F74C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金台区节水灌溉工程项目</w:t>
            </w:r>
          </w:p>
        </w:tc>
        <w:tc>
          <w:tcPr>
            <w:tcW w:w="2040" w:type="pct"/>
            <w:shd w:val="clear" w:color="auto" w:fill="auto"/>
            <w:vAlign w:val="center"/>
          </w:tcPr>
          <w:p w14:paraId="2EDC042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对金河镇宝丰村、紫原村和永利村7000亩农田实施节水灌溉</w:t>
            </w:r>
          </w:p>
        </w:tc>
        <w:tc>
          <w:tcPr>
            <w:tcW w:w="460" w:type="pct"/>
            <w:shd w:val="clear" w:color="auto" w:fill="auto"/>
            <w:vAlign w:val="center"/>
          </w:tcPr>
          <w:p w14:paraId="309904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BE3B9E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EF6CD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040A0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7A5BAB6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58CE53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24DB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36" w:hRule="atLeast"/>
        </w:trPr>
        <w:tc>
          <w:tcPr>
            <w:tcW w:w="225" w:type="pct"/>
            <w:shd w:val="clear" w:color="auto" w:fill="auto"/>
            <w:vAlign w:val="center"/>
          </w:tcPr>
          <w:p w14:paraId="4ED8E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309</w:t>
            </w:r>
          </w:p>
        </w:tc>
        <w:tc>
          <w:tcPr>
            <w:tcW w:w="490" w:type="pct"/>
            <w:shd w:val="clear" w:color="auto" w:fill="auto"/>
            <w:vAlign w:val="center"/>
          </w:tcPr>
          <w:p w14:paraId="737B62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蟠龙新区西部兰花苗木花卉基地</w:t>
            </w:r>
          </w:p>
        </w:tc>
        <w:tc>
          <w:tcPr>
            <w:tcW w:w="2040" w:type="pct"/>
            <w:shd w:val="clear" w:color="auto" w:fill="auto"/>
            <w:vAlign w:val="center"/>
          </w:tcPr>
          <w:p w14:paraId="27CFE46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占地100亩，新建苗木花卉养殖、智能温控大棚及配套设施</w:t>
            </w:r>
          </w:p>
        </w:tc>
        <w:tc>
          <w:tcPr>
            <w:tcW w:w="460" w:type="pct"/>
            <w:shd w:val="clear" w:color="auto" w:fill="auto"/>
            <w:vAlign w:val="center"/>
          </w:tcPr>
          <w:p w14:paraId="0A3617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22AD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5F6F7D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77" w:type="pct"/>
            <w:shd w:val="clear" w:color="auto" w:fill="auto"/>
            <w:vAlign w:val="center"/>
          </w:tcPr>
          <w:p w14:paraId="4F1740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1 </w:t>
            </w:r>
          </w:p>
        </w:tc>
        <w:tc>
          <w:tcPr>
            <w:tcW w:w="319" w:type="pct"/>
            <w:shd w:val="clear" w:color="auto" w:fill="auto"/>
            <w:vAlign w:val="center"/>
          </w:tcPr>
          <w:p w14:paraId="7595A1D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377072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蟠龙新区管委会</w:t>
            </w:r>
          </w:p>
        </w:tc>
      </w:tr>
      <w:tr w14:paraId="0CBD1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13" w:hRule="atLeast"/>
        </w:trPr>
        <w:tc>
          <w:tcPr>
            <w:tcW w:w="225" w:type="pct"/>
            <w:shd w:val="clear" w:color="auto" w:fill="auto"/>
            <w:vAlign w:val="center"/>
          </w:tcPr>
          <w:p w14:paraId="67BA73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310</w:t>
            </w:r>
          </w:p>
        </w:tc>
        <w:tc>
          <w:tcPr>
            <w:tcW w:w="490" w:type="pct"/>
            <w:shd w:val="clear" w:color="auto" w:fill="auto"/>
            <w:vAlign w:val="center"/>
          </w:tcPr>
          <w:p w14:paraId="04D994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金台区蟠龙镇食用菌产业园建设项目</w:t>
            </w:r>
          </w:p>
        </w:tc>
        <w:tc>
          <w:tcPr>
            <w:tcW w:w="2040" w:type="pct"/>
            <w:shd w:val="clear" w:color="auto" w:fill="auto"/>
            <w:vAlign w:val="center"/>
          </w:tcPr>
          <w:p w14:paraId="67CBCCA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500亩特色高效绿色循环食用菌产业园区。其中食用菌加工车间（或大棚）100亩，特色标准化生产区200亩、食用菌加工区50亩、菌渣加工利用区50亩、菌文化展示区10亩、食用菌新技术孵化中心10亩及食用菌产品产销市场20亩。配套建设道路、给排水、通信、电力等设施</w:t>
            </w:r>
          </w:p>
        </w:tc>
        <w:tc>
          <w:tcPr>
            <w:tcW w:w="460" w:type="pct"/>
            <w:shd w:val="clear" w:color="auto" w:fill="auto"/>
            <w:vAlign w:val="center"/>
          </w:tcPr>
          <w:p w14:paraId="209299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57A0A9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8AC680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C03FB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4DD2666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735266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r>
              <w:rPr>
                <w:rFonts w:hint="eastAsia" w:ascii="仿宋_GB2312" w:hAnsi="宋体" w:eastAsia="仿宋_GB2312" w:cs="宋体"/>
                <w:kern w:val="0"/>
                <w:sz w:val="20"/>
                <w:szCs w:val="20"/>
              </w:rPr>
              <w:t>蟠龙镇</w:t>
            </w:r>
          </w:p>
        </w:tc>
      </w:tr>
      <w:tr w14:paraId="0A51E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0" w:hRule="atLeast"/>
        </w:trPr>
        <w:tc>
          <w:tcPr>
            <w:tcW w:w="225" w:type="pct"/>
            <w:shd w:val="clear" w:color="auto" w:fill="auto"/>
            <w:vAlign w:val="center"/>
          </w:tcPr>
          <w:p w14:paraId="7BFF3471">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311</w:t>
            </w:r>
          </w:p>
        </w:tc>
        <w:tc>
          <w:tcPr>
            <w:tcW w:w="490" w:type="pct"/>
            <w:shd w:val="clear" w:color="auto" w:fill="auto"/>
            <w:vAlign w:val="center"/>
          </w:tcPr>
          <w:p w14:paraId="30DE173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蟠龙新区薰衣草种植基地建设项目</w:t>
            </w:r>
          </w:p>
        </w:tc>
        <w:tc>
          <w:tcPr>
            <w:tcW w:w="2040" w:type="pct"/>
            <w:shd w:val="clear" w:color="auto" w:fill="auto"/>
            <w:vAlign w:val="center"/>
          </w:tcPr>
          <w:p w14:paraId="765424D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占地100亩的薰衣草种植基地，新建道路1800米，建设游客服务中心500平方米、停车场500平方米。配套建设给排水、电力、热力、燃气等基础设施</w:t>
            </w:r>
          </w:p>
        </w:tc>
        <w:tc>
          <w:tcPr>
            <w:tcW w:w="460" w:type="pct"/>
            <w:shd w:val="clear" w:color="auto" w:fill="auto"/>
            <w:vAlign w:val="center"/>
          </w:tcPr>
          <w:p w14:paraId="434CC37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0243FC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0CEF3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62A50F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051E29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B0A6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8F2F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6" w:hRule="atLeast"/>
        </w:trPr>
        <w:tc>
          <w:tcPr>
            <w:tcW w:w="225" w:type="pct"/>
            <w:shd w:val="clear" w:color="auto" w:fill="auto"/>
            <w:vAlign w:val="center"/>
          </w:tcPr>
          <w:p w14:paraId="3EE5434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312</w:t>
            </w:r>
          </w:p>
        </w:tc>
        <w:tc>
          <w:tcPr>
            <w:tcW w:w="490" w:type="pct"/>
            <w:shd w:val="clear" w:color="auto" w:fill="auto"/>
            <w:vAlign w:val="center"/>
          </w:tcPr>
          <w:p w14:paraId="373461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蟠龙新区青禾塬尚田园综合体项目</w:t>
            </w:r>
          </w:p>
        </w:tc>
        <w:tc>
          <w:tcPr>
            <w:tcW w:w="2040" w:type="pct"/>
            <w:shd w:val="clear" w:color="auto" w:fill="auto"/>
            <w:vAlign w:val="center"/>
          </w:tcPr>
          <w:p w14:paraId="3105E59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占地面积1300余亩，建设高标准农田、农耕观光体验生态地</w:t>
            </w:r>
          </w:p>
        </w:tc>
        <w:tc>
          <w:tcPr>
            <w:tcW w:w="460" w:type="pct"/>
            <w:shd w:val="clear" w:color="auto" w:fill="auto"/>
            <w:vAlign w:val="center"/>
          </w:tcPr>
          <w:p w14:paraId="750314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6F36C5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4B7ED7F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w:t>
            </w:r>
          </w:p>
        </w:tc>
        <w:tc>
          <w:tcPr>
            <w:tcW w:w="377" w:type="pct"/>
            <w:shd w:val="clear" w:color="auto" w:fill="auto"/>
            <w:vAlign w:val="center"/>
          </w:tcPr>
          <w:p w14:paraId="34504C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4</w:t>
            </w:r>
          </w:p>
        </w:tc>
        <w:tc>
          <w:tcPr>
            <w:tcW w:w="319" w:type="pct"/>
            <w:shd w:val="clear" w:color="auto" w:fill="auto"/>
            <w:vAlign w:val="center"/>
          </w:tcPr>
          <w:p w14:paraId="0F5E98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p>
        </w:tc>
        <w:tc>
          <w:tcPr>
            <w:tcW w:w="392" w:type="pct"/>
            <w:shd w:val="clear" w:color="auto" w:fill="auto"/>
            <w:vAlign w:val="center"/>
          </w:tcPr>
          <w:p w14:paraId="4E2D59F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DBE0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7" w:hRule="atLeast"/>
        </w:trPr>
        <w:tc>
          <w:tcPr>
            <w:tcW w:w="225" w:type="pct"/>
            <w:shd w:val="clear" w:color="auto" w:fill="auto"/>
            <w:vAlign w:val="center"/>
          </w:tcPr>
          <w:p w14:paraId="15946857">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6967293B">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美丽宜居乡村（8）</w:t>
            </w:r>
          </w:p>
        </w:tc>
        <w:tc>
          <w:tcPr>
            <w:tcW w:w="2040" w:type="pct"/>
            <w:shd w:val="clear" w:color="auto" w:fill="auto"/>
            <w:vAlign w:val="center"/>
          </w:tcPr>
          <w:p w14:paraId="3E6883A9">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B41FD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22B5BD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2BB4A02">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77" w:type="pct"/>
            <w:shd w:val="clear" w:color="auto" w:fill="auto"/>
            <w:vAlign w:val="center"/>
          </w:tcPr>
          <w:p w14:paraId="6AB0FC2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6.57</w:t>
            </w:r>
          </w:p>
        </w:tc>
        <w:tc>
          <w:tcPr>
            <w:tcW w:w="319" w:type="pct"/>
            <w:shd w:val="clear" w:color="auto" w:fill="auto"/>
            <w:vAlign w:val="center"/>
          </w:tcPr>
          <w:p w14:paraId="3988E4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392ED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4CFED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4" w:hRule="atLeast"/>
        </w:trPr>
        <w:tc>
          <w:tcPr>
            <w:tcW w:w="225" w:type="pct"/>
            <w:shd w:val="clear" w:color="auto" w:fill="auto"/>
            <w:vAlign w:val="center"/>
          </w:tcPr>
          <w:p w14:paraId="387C2A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313</w:t>
            </w:r>
          </w:p>
        </w:tc>
        <w:tc>
          <w:tcPr>
            <w:tcW w:w="490" w:type="pct"/>
            <w:shd w:val="clear" w:color="auto" w:fill="auto"/>
            <w:vAlign w:val="center"/>
          </w:tcPr>
          <w:p w14:paraId="220F70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金台区农村人居环境综合治理项目</w:t>
            </w:r>
          </w:p>
        </w:tc>
        <w:tc>
          <w:tcPr>
            <w:tcW w:w="2040" w:type="pct"/>
            <w:shd w:val="clear" w:color="auto" w:fill="auto"/>
            <w:vAlign w:val="center"/>
          </w:tcPr>
          <w:p w14:paraId="00F20A8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w:t>
            </w:r>
            <w:r>
              <w:rPr>
                <w:rFonts w:hint="eastAsia" w:ascii="仿宋_GB2312" w:hAnsi="宋体" w:eastAsia="仿宋_GB2312" w:cs="宋体"/>
                <w:kern w:val="0"/>
                <w:sz w:val="20"/>
                <w:szCs w:val="20"/>
                <w:lang w:eastAsia="zh-CN"/>
              </w:rPr>
              <w:t>人居环境整治</w:t>
            </w:r>
            <w:r>
              <w:rPr>
                <w:rFonts w:hint="eastAsia" w:ascii="仿宋_GB2312" w:hAnsi="宋体" w:eastAsia="仿宋_GB2312" w:cs="宋体"/>
                <w:kern w:val="0"/>
                <w:sz w:val="20"/>
                <w:szCs w:val="20"/>
              </w:rPr>
              <w:t>工程，修建排水渠、村民文化活动广场、公厕、人饮、绿化、照明、河道清淤及生态护坡工程、生活垃圾转运站、生活污水收集处理、村容村貌提升改造等；配套绿化、照明等设施</w:t>
            </w:r>
          </w:p>
        </w:tc>
        <w:tc>
          <w:tcPr>
            <w:tcW w:w="460" w:type="pct"/>
            <w:shd w:val="clear" w:color="auto" w:fill="auto"/>
            <w:vAlign w:val="center"/>
          </w:tcPr>
          <w:p w14:paraId="0435404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金台区下辖68个行政村</w:t>
            </w:r>
          </w:p>
        </w:tc>
        <w:tc>
          <w:tcPr>
            <w:tcW w:w="374" w:type="pct"/>
            <w:shd w:val="clear" w:color="auto" w:fill="auto"/>
            <w:vAlign w:val="center"/>
          </w:tcPr>
          <w:p w14:paraId="496D11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3C601C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35BBDB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51CAB12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8E7BD9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1AFD2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3C95065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314</w:t>
            </w:r>
          </w:p>
        </w:tc>
        <w:tc>
          <w:tcPr>
            <w:tcW w:w="490" w:type="pct"/>
            <w:shd w:val="clear" w:color="auto" w:fill="auto"/>
            <w:vAlign w:val="center"/>
          </w:tcPr>
          <w:p w14:paraId="4C5999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金台区硖石镇乡村旅游休闲小站项目</w:t>
            </w:r>
          </w:p>
        </w:tc>
        <w:tc>
          <w:tcPr>
            <w:tcW w:w="2040" w:type="pct"/>
            <w:shd w:val="clear" w:color="auto" w:fill="auto"/>
            <w:vAlign w:val="center"/>
          </w:tcPr>
          <w:p w14:paraId="0138BC3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在大柳树村、车辙村、张家崖村、高家湾村、六川店村、五七村、三星村新建集食品农产品销售、饮用水供给、垃圾收集、观景休养为一体的休闲小站，站前建设车站；在长坪路-千北路环线沿线实施绿化</w:t>
            </w:r>
          </w:p>
        </w:tc>
        <w:tc>
          <w:tcPr>
            <w:tcW w:w="460" w:type="pct"/>
            <w:shd w:val="clear" w:color="auto" w:fill="auto"/>
            <w:vAlign w:val="center"/>
          </w:tcPr>
          <w:p w14:paraId="5E9A168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w:t>
            </w:r>
          </w:p>
        </w:tc>
        <w:tc>
          <w:tcPr>
            <w:tcW w:w="374" w:type="pct"/>
            <w:shd w:val="clear" w:color="auto" w:fill="auto"/>
            <w:vAlign w:val="center"/>
          </w:tcPr>
          <w:p w14:paraId="4E62BA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2B64C4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77" w:type="pct"/>
            <w:shd w:val="clear" w:color="auto" w:fill="auto"/>
            <w:vAlign w:val="center"/>
          </w:tcPr>
          <w:p w14:paraId="3074A6B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0.35</w:t>
            </w:r>
          </w:p>
        </w:tc>
        <w:tc>
          <w:tcPr>
            <w:tcW w:w="319" w:type="pct"/>
            <w:shd w:val="clear" w:color="auto" w:fill="auto"/>
            <w:vAlign w:val="center"/>
          </w:tcPr>
          <w:p w14:paraId="30F690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p>
        </w:tc>
        <w:tc>
          <w:tcPr>
            <w:tcW w:w="392" w:type="pct"/>
            <w:shd w:val="clear" w:color="auto" w:fill="auto"/>
            <w:vAlign w:val="center"/>
          </w:tcPr>
          <w:p w14:paraId="1FADAA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71C47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7" w:hRule="atLeast"/>
        </w:trPr>
        <w:tc>
          <w:tcPr>
            <w:tcW w:w="225" w:type="pct"/>
            <w:shd w:val="clear" w:color="auto" w:fill="auto"/>
            <w:vAlign w:val="center"/>
          </w:tcPr>
          <w:p w14:paraId="4C8C68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315</w:t>
            </w:r>
          </w:p>
        </w:tc>
        <w:tc>
          <w:tcPr>
            <w:tcW w:w="490" w:type="pct"/>
            <w:shd w:val="clear" w:color="auto" w:fill="auto"/>
            <w:vAlign w:val="center"/>
          </w:tcPr>
          <w:p w14:paraId="4C6F07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金台区农村电子商务平台</w:t>
            </w:r>
          </w:p>
        </w:tc>
        <w:tc>
          <w:tcPr>
            <w:tcW w:w="2040" w:type="pct"/>
            <w:shd w:val="clear" w:color="auto" w:fill="auto"/>
            <w:vAlign w:val="center"/>
          </w:tcPr>
          <w:p w14:paraId="431E049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建设金台区农村电子商务平台及京东、淘宝、拼多多消费扶贫专馆建设</w:t>
            </w:r>
          </w:p>
        </w:tc>
        <w:tc>
          <w:tcPr>
            <w:tcW w:w="460" w:type="pct"/>
            <w:shd w:val="clear" w:color="auto" w:fill="auto"/>
            <w:vAlign w:val="center"/>
          </w:tcPr>
          <w:p w14:paraId="4C224D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18424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FF80B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77" w:type="pct"/>
            <w:shd w:val="clear" w:color="auto" w:fill="auto"/>
            <w:vAlign w:val="center"/>
          </w:tcPr>
          <w:p w14:paraId="490D97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0.035</w:t>
            </w:r>
          </w:p>
        </w:tc>
        <w:tc>
          <w:tcPr>
            <w:tcW w:w="319" w:type="pct"/>
            <w:shd w:val="clear" w:color="auto" w:fill="auto"/>
            <w:vAlign w:val="center"/>
          </w:tcPr>
          <w:p w14:paraId="4FD988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财政资金</w:t>
            </w:r>
          </w:p>
        </w:tc>
        <w:tc>
          <w:tcPr>
            <w:tcW w:w="392" w:type="pct"/>
            <w:shd w:val="clear" w:color="auto" w:fill="auto"/>
            <w:vAlign w:val="center"/>
          </w:tcPr>
          <w:p w14:paraId="517D9B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区扶贫办</w:t>
            </w:r>
          </w:p>
        </w:tc>
      </w:tr>
      <w:tr w14:paraId="433EE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7" w:hRule="atLeast"/>
        </w:trPr>
        <w:tc>
          <w:tcPr>
            <w:tcW w:w="225" w:type="pct"/>
            <w:shd w:val="clear" w:color="auto" w:fill="auto"/>
            <w:vAlign w:val="center"/>
          </w:tcPr>
          <w:p w14:paraId="1D5407B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316</w:t>
            </w:r>
          </w:p>
        </w:tc>
        <w:tc>
          <w:tcPr>
            <w:tcW w:w="490" w:type="pct"/>
            <w:shd w:val="clear" w:color="auto" w:fill="auto"/>
            <w:vAlign w:val="center"/>
          </w:tcPr>
          <w:p w14:paraId="26A720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金台区乡村振兴示范创建项目</w:t>
            </w:r>
          </w:p>
        </w:tc>
        <w:tc>
          <w:tcPr>
            <w:tcW w:w="2040" w:type="pct"/>
            <w:shd w:val="clear" w:color="auto" w:fill="auto"/>
            <w:vAlign w:val="center"/>
          </w:tcPr>
          <w:p w14:paraId="50977014">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以六类示范村创建为重点，打造三产融合示范村、优势产业先导村、特色旅游示范村、生态旅游示范村、文化传承示范村、文明治理示范村，持续塑造发展六个特色区块</w:t>
            </w:r>
          </w:p>
        </w:tc>
        <w:tc>
          <w:tcPr>
            <w:tcW w:w="460" w:type="pct"/>
            <w:shd w:val="clear" w:color="auto" w:fill="auto"/>
            <w:vAlign w:val="center"/>
          </w:tcPr>
          <w:p w14:paraId="449A43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E3B33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A9453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77" w:type="pct"/>
            <w:shd w:val="clear" w:color="auto" w:fill="auto"/>
            <w:vAlign w:val="center"/>
          </w:tcPr>
          <w:p w14:paraId="0B805B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w:t>
            </w:r>
          </w:p>
        </w:tc>
        <w:tc>
          <w:tcPr>
            <w:tcW w:w="319" w:type="pct"/>
            <w:shd w:val="clear" w:color="auto" w:fill="auto"/>
            <w:vAlign w:val="center"/>
          </w:tcPr>
          <w:p w14:paraId="48F4D23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73A0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49C4F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8" w:hRule="atLeast"/>
        </w:trPr>
        <w:tc>
          <w:tcPr>
            <w:tcW w:w="225" w:type="pct"/>
            <w:shd w:val="clear" w:color="auto" w:fill="auto"/>
            <w:vAlign w:val="center"/>
          </w:tcPr>
          <w:p w14:paraId="56FAF0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317</w:t>
            </w:r>
          </w:p>
        </w:tc>
        <w:tc>
          <w:tcPr>
            <w:tcW w:w="490" w:type="pct"/>
            <w:shd w:val="clear" w:color="auto" w:fill="auto"/>
            <w:vAlign w:val="center"/>
          </w:tcPr>
          <w:p w14:paraId="5C0D17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金台区村庄公共基础设施建设工程项目</w:t>
            </w:r>
          </w:p>
        </w:tc>
        <w:tc>
          <w:tcPr>
            <w:tcW w:w="2040" w:type="pct"/>
            <w:shd w:val="clear" w:color="auto" w:fill="auto"/>
            <w:vAlign w:val="center"/>
          </w:tcPr>
          <w:p w14:paraId="53D325DA">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建设村级综合性公共服务中心，村级道路提升改造</w:t>
            </w:r>
          </w:p>
        </w:tc>
        <w:tc>
          <w:tcPr>
            <w:tcW w:w="460" w:type="pct"/>
            <w:shd w:val="clear" w:color="auto" w:fill="auto"/>
            <w:vAlign w:val="center"/>
          </w:tcPr>
          <w:p w14:paraId="08F85D8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2F77CE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3CFFF0D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77" w:type="pct"/>
            <w:shd w:val="clear" w:color="auto" w:fill="auto"/>
            <w:vAlign w:val="center"/>
          </w:tcPr>
          <w:p w14:paraId="104862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0.385</w:t>
            </w:r>
          </w:p>
        </w:tc>
        <w:tc>
          <w:tcPr>
            <w:tcW w:w="319" w:type="pct"/>
            <w:shd w:val="clear" w:color="auto" w:fill="auto"/>
            <w:vAlign w:val="center"/>
          </w:tcPr>
          <w:p w14:paraId="2F6E8D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4A9BA3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区农业农村局</w:t>
            </w:r>
          </w:p>
        </w:tc>
      </w:tr>
      <w:tr w14:paraId="05519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7" w:hRule="atLeast"/>
        </w:trPr>
        <w:tc>
          <w:tcPr>
            <w:tcW w:w="225" w:type="pct"/>
            <w:shd w:val="clear" w:color="auto" w:fill="auto"/>
            <w:vAlign w:val="center"/>
          </w:tcPr>
          <w:p w14:paraId="06C591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318</w:t>
            </w:r>
          </w:p>
        </w:tc>
        <w:tc>
          <w:tcPr>
            <w:tcW w:w="490" w:type="pct"/>
            <w:shd w:val="clear" w:color="auto" w:fill="auto"/>
            <w:vAlign w:val="center"/>
          </w:tcPr>
          <w:p w14:paraId="64571A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金台区硖石镇休闲农业康养中心建设项目</w:t>
            </w:r>
          </w:p>
        </w:tc>
        <w:tc>
          <w:tcPr>
            <w:tcW w:w="2040" w:type="pct"/>
            <w:shd w:val="clear" w:color="auto" w:fill="auto"/>
            <w:vAlign w:val="center"/>
          </w:tcPr>
          <w:p w14:paraId="1227734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规划面积约500亩，建设文化广场，生态停车场，农产品标准化生产示范基地，康养中心，综合性休闲接待办公大楼，农产品电子商务平台，购置健康医疗设施设备等配套设施</w:t>
            </w:r>
          </w:p>
        </w:tc>
        <w:tc>
          <w:tcPr>
            <w:tcW w:w="460" w:type="pct"/>
            <w:shd w:val="clear" w:color="auto" w:fill="auto"/>
            <w:vAlign w:val="center"/>
          </w:tcPr>
          <w:p w14:paraId="3CB60CF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2EB8DFD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43C44C2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707FFA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4474EB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FDEB3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7BFCB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71" w:hRule="atLeast"/>
        </w:trPr>
        <w:tc>
          <w:tcPr>
            <w:tcW w:w="225" w:type="pct"/>
            <w:shd w:val="clear" w:color="auto" w:fill="auto"/>
            <w:vAlign w:val="center"/>
          </w:tcPr>
          <w:p w14:paraId="0C7EC6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319</w:t>
            </w:r>
          </w:p>
        </w:tc>
        <w:tc>
          <w:tcPr>
            <w:tcW w:w="490" w:type="pct"/>
            <w:shd w:val="clear" w:color="auto" w:fill="auto"/>
            <w:vAlign w:val="center"/>
          </w:tcPr>
          <w:p w14:paraId="77661B0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4210808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建设日处理规模140吨，建设四个垃圾转运站，配置3立方米垃圾箱109个，3立方米村级垃圾转运车54辆，4个垃圾转运站配置10立方米的大型垃圾转运车4辆</w:t>
            </w:r>
          </w:p>
        </w:tc>
        <w:tc>
          <w:tcPr>
            <w:tcW w:w="460" w:type="pct"/>
            <w:shd w:val="clear" w:color="auto" w:fill="auto"/>
            <w:vAlign w:val="center"/>
          </w:tcPr>
          <w:p w14:paraId="5F1CA9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3B2856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CABF2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77" w:type="pct"/>
            <w:shd w:val="clear" w:color="auto" w:fill="auto"/>
            <w:vAlign w:val="center"/>
          </w:tcPr>
          <w:p w14:paraId="1D5152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w:t>
            </w:r>
          </w:p>
        </w:tc>
        <w:tc>
          <w:tcPr>
            <w:tcW w:w="319" w:type="pct"/>
            <w:shd w:val="clear" w:color="auto" w:fill="auto"/>
            <w:vAlign w:val="center"/>
          </w:tcPr>
          <w:p w14:paraId="6B982D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1AE45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52DFB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8" w:hRule="atLeast"/>
        </w:trPr>
        <w:tc>
          <w:tcPr>
            <w:tcW w:w="225" w:type="pct"/>
            <w:shd w:val="clear" w:color="auto" w:fill="auto"/>
            <w:vAlign w:val="center"/>
          </w:tcPr>
          <w:p w14:paraId="12487F0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20</w:t>
            </w:r>
          </w:p>
        </w:tc>
        <w:tc>
          <w:tcPr>
            <w:tcW w:w="490" w:type="pct"/>
            <w:shd w:val="clear" w:color="auto" w:fill="auto"/>
            <w:vAlign w:val="center"/>
          </w:tcPr>
          <w:p w14:paraId="6020E4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0"/>
                <w:kern w:val="0"/>
                <w:sz w:val="20"/>
                <w:szCs w:val="20"/>
              </w:rPr>
              <w:t>金台区西府天地民俗观光旅游景区建设项目</w:t>
            </w:r>
          </w:p>
        </w:tc>
        <w:tc>
          <w:tcPr>
            <w:tcW w:w="2040" w:type="pct"/>
            <w:shd w:val="clear" w:color="auto" w:fill="auto"/>
            <w:vAlign w:val="center"/>
          </w:tcPr>
          <w:p w14:paraId="79B8F8B7">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修复传统建筑80户，配套景区道路、游客服务中心、停车场、综合管网（廊）、绿化、公厕、环卫、照明等基础设施建设</w:t>
            </w:r>
          </w:p>
        </w:tc>
        <w:tc>
          <w:tcPr>
            <w:tcW w:w="460" w:type="pct"/>
            <w:shd w:val="clear" w:color="auto" w:fill="auto"/>
            <w:vAlign w:val="center"/>
          </w:tcPr>
          <w:p w14:paraId="28A5E0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546705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52F79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77" w:type="pct"/>
            <w:shd w:val="clear" w:color="auto" w:fill="auto"/>
            <w:vAlign w:val="center"/>
          </w:tcPr>
          <w:p w14:paraId="2D772D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2.5</w:t>
            </w:r>
          </w:p>
        </w:tc>
        <w:tc>
          <w:tcPr>
            <w:tcW w:w="319" w:type="pct"/>
            <w:shd w:val="clear" w:color="auto" w:fill="auto"/>
            <w:vAlign w:val="center"/>
          </w:tcPr>
          <w:p w14:paraId="1698995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C69027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西府天地</w:t>
            </w:r>
          </w:p>
          <w:p w14:paraId="30CC9FA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286B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12" w:hRule="atLeast"/>
        </w:trPr>
        <w:tc>
          <w:tcPr>
            <w:tcW w:w="2756" w:type="pct"/>
            <w:gridSpan w:val="3"/>
            <w:shd w:val="clear" w:color="auto" w:fill="auto"/>
            <w:vAlign w:val="center"/>
          </w:tcPr>
          <w:p w14:paraId="1FEF28EE">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十、生态环境治理项目（29个）</w:t>
            </w:r>
          </w:p>
        </w:tc>
        <w:tc>
          <w:tcPr>
            <w:tcW w:w="460" w:type="pct"/>
            <w:shd w:val="clear" w:color="auto" w:fill="auto"/>
            <w:vAlign w:val="center"/>
          </w:tcPr>
          <w:p w14:paraId="5594D3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B963C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3ECA52F9">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61.4882</w:t>
            </w:r>
          </w:p>
        </w:tc>
        <w:tc>
          <w:tcPr>
            <w:tcW w:w="377" w:type="pct"/>
            <w:shd w:val="clear" w:color="auto" w:fill="auto"/>
            <w:vAlign w:val="center"/>
          </w:tcPr>
          <w:p w14:paraId="355D903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42.7758</w:t>
            </w:r>
          </w:p>
        </w:tc>
        <w:tc>
          <w:tcPr>
            <w:tcW w:w="319" w:type="pct"/>
            <w:shd w:val="clear" w:color="auto" w:fill="auto"/>
            <w:vAlign w:val="center"/>
          </w:tcPr>
          <w:p w14:paraId="2786DF3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01C2CB0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4FF3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1" w:hRule="atLeast"/>
        </w:trPr>
        <w:tc>
          <w:tcPr>
            <w:tcW w:w="225" w:type="pct"/>
            <w:shd w:val="clear" w:color="auto" w:fill="auto"/>
            <w:vAlign w:val="center"/>
          </w:tcPr>
          <w:p w14:paraId="5EAD8A90">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（一）</w:t>
            </w:r>
          </w:p>
        </w:tc>
        <w:tc>
          <w:tcPr>
            <w:tcW w:w="490" w:type="pct"/>
            <w:shd w:val="clear" w:color="auto" w:fill="auto"/>
            <w:vAlign w:val="center"/>
          </w:tcPr>
          <w:p w14:paraId="5533CA42">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生态治理（13）</w:t>
            </w:r>
          </w:p>
        </w:tc>
        <w:tc>
          <w:tcPr>
            <w:tcW w:w="2040" w:type="pct"/>
            <w:shd w:val="clear" w:color="auto" w:fill="auto"/>
            <w:vAlign w:val="center"/>
          </w:tcPr>
          <w:p w14:paraId="0D9D528C">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63BBB1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4D0B03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5CE37ED4">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77" w:type="pct"/>
            <w:shd w:val="clear" w:color="auto" w:fill="auto"/>
            <w:vAlign w:val="center"/>
          </w:tcPr>
          <w:p w14:paraId="00579840">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19.11</w:t>
            </w:r>
          </w:p>
        </w:tc>
        <w:tc>
          <w:tcPr>
            <w:tcW w:w="319" w:type="pct"/>
            <w:shd w:val="clear" w:color="auto" w:fill="auto"/>
            <w:vAlign w:val="center"/>
          </w:tcPr>
          <w:p w14:paraId="2C2FFEA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E7A6C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0225C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20" w:hRule="atLeast"/>
        </w:trPr>
        <w:tc>
          <w:tcPr>
            <w:tcW w:w="225" w:type="pct"/>
            <w:vMerge w:val="restart"/>
            <w:shd w:val="clear" w:color="auto" w:fill="auto"/>
            <w:vAlign w:val="center"/>
          </w:tcPr>
          <w:p w14:paraId="6F11CA0B">
            <w:pPr>
              <w:adjustRightInd w:val="0"/>
              <w:snapToGrid w:val="0"/>
              <w:jc w:val="center"/>
              <w:rPr>
                <w:rFonts w:ascii="仿宋_GB2312" w:hAnsi="宋体" w:eastAsia="仿宋_GB2312" w:cs="宋体"/>
                <w:kern w:val="0"/>
                <w:sz w:val="20"/>
                <w:szCs w:val="20"/>
              </w:rPr>
            </w:pPr>
            <w:r>
              <w:rPr>
                <w:rFonts w:ascii="仿宋_GB2312" w:hAnsi="宋体" w:eastAsia="仿宋_GB2312" w:cs="宋体"/>
                <w:kern w:val="0"/>
                <w:sz w:val="20"/>
                <w:szCs w:val="20"/>
              </w:rPr>
              <w:t>321</w:t>
            </w:r>
          </w:p>
        </w:tc>
        <w:tc>
          <w:tcPr>
            <w:tcW w:w="490" w:type="pct"/>
            <w:vMerge w:val="restart"/>
            <w:shd w:val="clear" w:color="auto" w:fill="auto"/>
            <w:vAlign w:val="center"/>
          </w:tcPr>
          <w:p w14:paraId="0E19DD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金台区渭河生态区建设项目</w:t>
            </w:r>
          </w:p>
        </w:tc>
        <w:tc>
          <w:tcPr>
            <w:tcW w:w="2040" w:type="pct"/>
            <w:shd w:val="clear" w:color="auto" w:fill="auto"/>
            <w:vAlign w:val="center"/>
          </w:tcPr>
          <w:p w14:paraId="38CA968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生态建设项目，建设滩面整治4处，面积约3866亩，入渭口生态修复工程3处，占地约1174亩，排污口生态工程3处，规划面积约650亩，水文化及水生态景观工程4处，水生物保护工程、信息化工程及基础设施等</w:t>
            </w:r>
          </w:p>
        </w:tc>
        <w:tc>
          <w:tcPr>
            <w:tcW w:w="460" w:type="pct"/>
            <w:vMerge w:val="restart"/>
            <w:shd w:val="clear" w:color="auto" w:fill="auto"/>
            <w:vAlign w:val="center"/>
          </w:tcPr>
          <w:p w14:paraId="408B48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渭河金台段</w:t>
            </w:r>
          </w:p>
        </w:tc>
        <w:tc>
          <w:tcPr>
            <w:tcW w:w="374" w:type="pct"/>
            <w:vMerge w:val="restart"/>
            <w:shd w:val="clear" w:color="auto" w:fill="auto"/>
            <w:vAlign w:val="center"/>
          </w:tcPr>
          <w:p w14:paraId="202DB3E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8A799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77" w:type="pct"/>
            <w:shd w:val="clear" w:color="auto" w:fill="auto"/>
            <w:vAlign w:val="center"/>
          </w:tcPr>
          <w:p w14:paraId="3BB469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3.79</w:t>
            </w:r>
          </w:p>
        </w:tc>
        <w:tc>
          <w:tcPr>
            <w:tcW w:w="319" w:type="pct"/>
            <w:vMerge w:val="restart"/>
            <w:shd w:val="clear" w:color="auto" w:fill="auto"/>
            <w:vAlign w:val="center"/>
          </w:tcPr>
          <w:p w14:paraId="6B96BA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vMerge w:val="restart"/>
            <w:shd w:val="clear" w:color="auto" w:fill="auto"/>
            <w:vAlign w:val="center"/>
          </w:tcPr>
          <w:p w14:paraId="6AAB362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p>
        </w:tc>
      </w:tr>
      <w:tr w14:paraId="0BB18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10" w:hRule="atLeast"/>
        </w:trPr>
        <w:tc>
          <w:tcPr>
            <w:tcW w:w="225" w:type="pct"/>
            <w:vMerge w:val="continue"/>
            <w:vAlign w:val="center"/>
          </w:tcPr>
          <w:p w14:paraId="28987ACE">
            <w:pPr>
              <w:adjustRightInd w:val="0"/>
              <w:snapToGrid w:val="0"/>
              <w:rPr>
                <w:rFonts w:ascii="仿宋_GB2312" w:hAnsi="宋体" w:eastAsia="仿宋_GB2312" w:cs="宋体"/>
                <w:kern w:val="0"/>
                <w:sz w:val="20"/>
                <w:szCs w:val="20"/>
              </w:rPr>
            </w:pPr>
          </w:p>
        </w:tc>
        <w:tc>
          <w:tcPr>
            <w:tcW w:w="490" w:type="pct"/>
            <w:vMerge w:val="continue"/>
            <w:vAlign w:val="center"/>
          </w:tcPr>
          <w:p w14:paraId="1372F702">
            <w:pPr>
              <w:adjustRightInd w:val="0"/>
              <w:snapToGrid w:val="0"/>
              <w:rPr>
                <w:rFonts w:ascii="仿宋_GB2312" w:hAnsi="宋体" w:eastAsia="仿宋_GB2312" w:cs="宋体"/>
                <w:kern w:val="0"/>
                <w:sz w:val="20"/>
                <w:szCs w:val="20"/>
              </w:rPr>
            </w:pPr>
          </w:p>
        </w:tc>
        <w:tc>
          <w:tcPr>
            <w:tcW w:w="2040" w:type="pct"/>
            <w:shd w:val="clear" w:color="auto" w:fill="auto"/>
            <w:vAlign w:val="center"/>
          </w:tcPr>
          <w:p w14:paraId="0A2EBCB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开发利用项目，建设滨水休闲休憩2300亩，滨水综合产业开发1200亩，综合集散服务中心1处等</w:t>
            </w:r>
          </w:p>
        </w:tc>
        <w:tc>
          <w:tcPr>
            <w:tcW w:w="460" w:type="pct"/>
            <w:vMerge w:val="continue"/>
            <w:vAlign w:val="center"/>
          </w:tcPr>
          <w:p w14:paraId="6CA9DB69">
            <w:pPr>
              <w:adjustRightInd w:val="0"/>
              <w:snapToGrid w:val="0"/>
              <w:rPr>
                <w:rFonts w:ascii="仿宋_GB2312" w:hAnsi="宋体" w:eastAsia="仿宋_GB2312" w:cs="宋体"/>
                <w:kern w:val="0"/>
                <w:sz w:val="20"/>
                <w:szCs w:val="20"/>
              </w:rPr>
            </w:pPr>
          </w:p>
        </w:tc>
        <w:tc>
          <w:tcPr>
            <w:tcW w:w="374" w:type="pct"/>
            <w:vMerge w:val="continue"/>
            <w:vAlign w:val="center"/>
          </w:tcPr>
          <w:p w14:paraId="336D8C8A">
            <w:pPr>
              <w:adjustRightInd w:val="0"/>
              <w:snapToGrid w:val="0"/>
              <w:rPr>
                <w:rFonts w:ascii="仿宋_GB2312" w:hAnsi="宋体" w:eastAsia="仿宋_GB2312" w:cs="宋体"/>
                <w:kern w:val="0"/>
                <w:sz w:val="20"/>
                <w:szCs w:val="20"/>
              </w:rPr>
            </w:pPr>
          </w:p>
        </w:tc>
        <w:tc>
          <w:tcPr>
            <w:tcW w:w="321" w:type="pct"/>
            <w:shd w:val="clear" w:color="auto" w:fill="auto"/>
            <w:vAlign w:val="center"/>
          </w:tcPr>
          <w:p w14:paraId="767AF1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77" w:type="pct"/>
            <w:shd w:val="clear" w:color="auto" w:fill="auto"/>
            <w:vAlign w:val="center"/>
          </w:tcPr>
          <w:p w14:paraId="018DCB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0.77</w:t>
            </w:r>
          </w:p>
        </w:tc>
        <w:tc>
          <w:tcPr>
            <w:tcW w:w="319" w:type="pct"/>
            <w:vMerge w:val="continue"/>
            <w:vAlign w:val="center"/>
          </w:tcPr>
          <w:p w14:paraId="2F72304D">
            <w:pPr>
              <w:adjustRightInd w:val="0"/>
              <w:snapToGrid w:val="0"/>
              <w:rPr>
                <w:rFonts w:ascii="仿宋_GB2312" w:hAnsi="宋体" w:eastAsia="仿宋_GB2312" w:cs="宋体"/>
                <w:kern w:val="0"/>
                <w:sz w:val="20"/>
                <w:szCs w:val="20"/>
              </w:rPr>
            </w:pPr>
          </w:p>
        </w:tc>
        <w:tc>
          <w:tcPr>
            <w:tcW w:w="392" w:type="pct"/>
            <w:vMerge w:val="continue"/>
            <w:vAlign w:val="center"/>
          </w:tcPr>
          <w:p w14:paraId="24DBAFE2">
            <w:pPr>
              <w:adjustRightInd w:val="0"/>
              <w:snapToGrid w:val="0"/>
              <w:rPr>
                <w:rFonts w:ascii="仿宋_GB2312" w:hAnsi="宋体" w:eastAsia="仿宋_GB2312" w:cs="宋体"/>
                <w:kern w:val="0"/>
                <w:sz w:val="20"/>
                <w:szCs w:val="20"/>
              </w:rPr>
            </w:pPr>
          </w:p>
        </w:tc>
      </w:tr>
      <w:tr w14:paraId="4282E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2" w:hRule="atLeast"/>
        </w:trPr>
        <w:tc>
          <w:tcPr>
            <w:tcW w:w="225" w:type="pct"/>
            <w:shd w:val="clear" w:color="auto" w:fill="auto"/>
            <w:vAlign w:val="center"/>
          </w:tcPr>
          <w:p w14:paraId="0E1CA69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322</w:t>
            </w:r>
          </w:p>
        </w:tc>
        <w:tc>
          <w:tcPr>
            <w:tcW w:w="490" w:type="pct"/>
            <w:shd w:val="clear" w:color="auto" w:fill="auto"/>
            <w:vAlign w:val="center"/>
          </w:tcPr>
          <w:p w14:paraId="25FCF7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金台区六川河流域人工湿地及污染防治综合治理项目</w:t>
            </w:r>
          </w:p>
        </w:tc>
        <w:tc>
          <w:tcPr>
            <w:tcW w:w="2040" w:type="pct"/>
            <w:shd w:val="clear" w:color="auto" w:fill="auto"/>
            <w:vAlign w:val="center"/>
          </w:tcPr>
          <w:p w14:paraId="7E3B9735">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建设车辙村、张家崖村等3处人工湿地；生态护坡及河道湿地工程：建设车辙村、六川店村等2段生态护坡2公里，水坝3座；建设六川河与暴家河交汇处河道生态湿地，约5000平方米</w:t>
            </w:r>
          </w:p>
        </w:tc>
        <w:tc>
          <w:tcPr>
            <w:tcW w:w="460" w:type="pct"/>
            <w:shd w:val="clear" w:color="auto" w:fill="auto"/>
            <w:vAlign w:val="center"/>
          </w:tcPr>
          <w:p w14:paraId="471EBF2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硖石镇六川河流域</w:t>
            </w:r>
          </w:p>
        </w:tc>
        <w:tc>
          <w:tcPr>
            <w:tcW w:w="374" w:type="pct"/>
            <w:shd w:val="clear" w:color="auto" w:fill="auto"/>
            <w:vAlign w:val="center"/>
          </w:tcPr>
          <w:p w14:paraId="0958953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F2B9E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F304B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A043C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4A9169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0E15A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63A3E5A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323</w:t>
            </w:r>
          </w:p>
        </w:tc>
        <w:tc>
          <w:tcPr>
            <w:tcW w:w="490" w:type="pct"/>
            <w:shd w:val="clear" w:color="auto" w:fill="auto"/>
            <w:vAlign w:val="center"/>
          </w:tcPr>
          <w:p w14:paraId="187645F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代家湾生态公园（水土保持示范园提升改造项目）</w:t>
            </w:r>
          </w:p>
        </w:tc>
        <w:tc>
          <w:tcPr>
            <w:tcW w:w="2040" w:type="pct"/>
            <w:shd w:val="clear" w:color="auto" w:fill="auto"/>
            <w:vAlign w:val="center"/>
          </w:tcPr>
          <w:p w14:paraId="310B9CB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占地3000亩，改造更新维护园区设施，园区林相改造；坡面水土流失治理；园区科普、文化、休闲、健身等设施</w:t>
            </w:r>
          </w:p>
        </w:tc>
        <w:tc>
          <w:tcPr>
            <w:tcW w:w="460" w:type="pct"/>
            <w:shd w:val="clear" w:color="auto" w:fill="auto"/>
            <w:vAlign w:val="center"/>
          </w:tcPr>
          <w:p w14:paraId="5731D58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代家湾生态公园</w:t>
            </w:r>
          </w:p>
        </w:tc>
        <w:tc>
          <w:tcPr>
            <w:tcW w:w="374" w:type="pct"/>
            <w:shd w:val="clear" w:color="auto" w:fill="auto"/>
            <w:vAlign w:val="center"/>
          </w:tcPr>
          <w:p w14:paraId="59B7FB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79BD00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D3F1D7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373C3C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5D86F51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北坡建委</w:t>
            </w:r>
          </w:p>
        </w:tc>
      </w:tr>
      <w:tr w14:paraId="192BD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7" w:hRule="atLeast"/>
        </w:trPr>
        <w:tc>
          <w:tcPr>
            <w:tcW w:w="225" w:type="pct"/>
            <w:shd w:val="clear" w:color="auto" w:fill="auto"/>
            <w:vAlign w:val="center"/>
          </w:tcPr>
          <w:p w14:paraId="3533ED7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324</w:t>
            </w:r>
          </w:p>
        </w:tc>
        <w:tc>
          <w:tcPr>
            <w:tcW w:w="490" w:type="pct"/>
            <w:shd w:val="clear" w:color="auto" w:fill="auto"/>
            <w:vAlign w:val="center"/>
          </w:tcPr>
          <w:p w14:paraId="4C9AA8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金陵河河道安全暨综合治理工程</w:t>
            </w:r>
          </w:p>
        </w:tc>
        <w:tc>
          <w:tcPr>
            <w:tcW w:w="2040" w:type="pct"/>
            <w:shd w:val="clear" w:color="auto" w:fill="auto"/>
            <w:vAlign w:val="center"/>
          </w:tcPr>
          <w:p w14:paraId="336EA78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公里无堤段堤防，在市区段安装护栏，实施亮化绿化，修建堤顶道路，砌筑护坡；对中游段生态清淤，河道主河槽疏挖与滩地平整，清除堆积砾石、泥沙，建设排污治理工程，整治雨水口、排污口；建设湿地公园；建设生态停车场</w:t>
            </w:r>
            <w:r>
              <w:rPr>
                <w:rFonts w:hint="eastAsia" w:ascii="仿宋_GB2312" w:hAnsi="宋体" w:eastAsia="仿宋_GB2312" w:cs="宋体"/>
                <w:kern w:val="0"/>
                <w:sz w:val="20"/>
                <w:szCs w:val="20"/>
                <w:lang w:eastAsia="zh-CN"/>
              </w:rPr>
              <w:t>及其他</w:t>
            </w:r>
            <w:r>
              <w:rPr>
                <w:rFonts w:hint="eastAsia" w:ascii="仿宋_GB2312" w:hAnsi="宋体" w:eastAsia="仿宋_GB2312" w:cs="宋体"/>
                <w:kern w:val="0"/>
                <w:sz w:val="20"/>
                <w:szCs w:val="20"/>
              </w:rPr>
              <w:t>绿化给排水等工程</w:t>
            </w:r>
          </w:p>
        </w:tc>
        <w:tc>
          <w:tcPr>
            <w:tcW w:w="460" w:type="pct"/>
            <w:shd w:val="clear" w:color="auto" w:fill="auto"/>
            <w:vAlign w:val="center"/>
          </w:tcPr>
          <w:p w14:paraId="736E17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金河镇段金陵河</w:t>
            </w:r>
          </w:p>
        </w:tc>
        <w:tc>
          <w:tcPr>
            <w:tcW w:w="374" w:type="pct"/>
            <w:shd w:val="clear" w:color="auto" w:fill="auto"/>
            <w:vAlign w:val="center"/>
          </w:tcPr>
          <w:p w14:paraId="005F1A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406EA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99C20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3935E1A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79B0E9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金河镇人民政府</w:t>
            </w:r>
          </w:p>
        </w:tc>
      </w:tr>
      <w:tr w14:paraId="2E5A3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3" w:hRule="atLeast"/>
        </w:trPr>
        <w:tc>
          <w:tcPr>
            <w:tcW w:w="225" w:type="pct"/>
            <w:shd w:val="clear" w:color="auto" w:fill="auto"/>
            <w:vAlign w:val="center"/>
          </w:tcPr>
          <w:p w14:paraId="5ECB2B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325</w:t>
            </w:r>
          </w:p>
        </w:tc>
        <w:tc>
          <w:tcPr>
            <w:tcW w:w="490" w:type="pct"/>
            <w:shd w:val="clear" w:color="auto" w:fill="auto"/>
            <w:vAlign w:val="center"/>
          </w:tcPr>
          <w:p w14:paraId="2114EE5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金台区硖石河流域水环境综合整治工程</w:t>
            </w:r>
          </w:p>
        </w:tc>
        <w:tc>
          <w:tcPr>
            <w:tcW w:w="2040" w:type="pct"/>
            <w:shd w:val="clear" w:color="auto" w:fill="auto"/>
            <w:vAlign w:val="center"/>
          </w:tcPr>
          <w:p w14:paraId="5F1C9A1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全段21公里河道生态清淤，新建生态护岸河堤，已有堤脚加固、清理淤泥、沿线污水收集管网、污水处理设施、种植绿化植物、修建绿色步道、敷设截污管道、配备太阳能路灯、休闲座椅等</w:t>
            </w:r>
          </w:p>
        </w:tc>
        <w:tc>
          <w:tcPr>
            <w:tcW w:w="460" w:type="pct"/>
            <w:shd w:val="clear" w:color="auto" w:fill="auto"/>
            <w:vAlign w:val="center"/>
          </w:tcPr>
          <w:p w14:paraId="3A29CE3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53A0D6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FE41FC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4EAF211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010A0A9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885140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区林业局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 xml:space="preserve"> 硖石镇</w:t>
            </w:r>
          </w:p>
        </w:tc>
      </w:tr>
      <w:tr w14:paraId="3591F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55" w:hRule="atLeast"/>
        </w:trPr>
        <w:tc>
          <w:tcPr>
            <w:tcW w:w="225" w:type="pct"/>
            <w:shd w:val="clear" w:color="auto" w:fill="auto"/>
            <w:vAlign w:val="center"/>
          </w:tcPr>
          <w:p w14:paraId="3726B8E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326</w:t>
            </w:r>
          </w:p>
        </w:tc>
        <w:tc>
          <w:tcPr>
            <w:tcW w:w="490" w:type="pct"/>
            <w:shd w:val="clear" w:color="auto" w:fill="auto"/>
            <w:vAlign w:val="center"/>
          </w:tcPr>
          <w:p w14:paraId="36389BF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金台区北坡生态治理项目</w:t>
            </w:r>
          </w:p>
        </w:tc>
        <w:tc>
          <w:tcPr>
            <w:tcW w:w="2040" w:type="pct"/>
            <w:shd w:val="clear" w:color="auto" w:fill="auto"/>
            <w:vAlign w:val="center"/>
          </w:tcPr>
          <w:p w14:paraId="7D0C165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1.对北坡坡面及现行游园小道路，景观重新规划设计整合，针对地质灾害滑坡，裸露山体，护坡崖面，拆迁遗留等区域进行生态修复。2.对全长6.362公里太极东路太极西路新建人行道并实施景观绿化。3.对蟠龙塬北坡进行生态综合治理</w:t>
            </w:r>
          </w:p>
        </w:tc>
        <w:tc>
          <w:tcPr>
            <w:tcW w:w="460" w:type="pct"/>
            <w:shd w:val="clear" w:color="auto" w:fill="auto"/>
            <w:vAlign w:val="center"/>
          </w:tcPr>
          <w:p w14:paraId="3ED9D2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蟠龙塬等</w:t>
            </w:r>
          </w:p>
        </w:tc>
        <w:tc>
          <w:tcPr>
            <w:tcW w:w="374" w:type="pct"/>
            <w:shd w:val="clear" w:color="auto" w:fill="auto"/>
            <w:vAlign w:val="center"/>
          </w:tcPr>
          <w:p w14:paraId="08149D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99D0E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005702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791337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2E79028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西府天地</w:t>
            </w:r>
          </w:p>
          <w:p w14:paraId="70DD99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管委办</w:t>
            </w:r>
          </w:p>
        </w:tc>
      </w:tr>
      <w:tr w14:paraId="7F39D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3" w:hRule="atLeast"/>
        </w:trPr>
        <w:tc>
          <w:tcPr>
            <w:tcW w:w="225" w:type="pct"/>
            <w:shd w:val="clear" w:color="auto" w:fill="auto"/>
            <w:vAlign w:val="center"/>
          </w:tcPr>
          <w:p w14:paraId="6AAFBDA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327</w:t>
            </w:r>
          </w:p>
        </w:tc>
        <w:tc>
          <w:tcPr>
            <w:tcW w:w="490" w:type="pct"/>
            <w:shd w:val="clear" w:color="auto" w:fill="auto"/>
            <w:vAlign w:val="center"/>
          </w:tcPr>
          <w:p w14:paraId="7B9CC55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金台区玉涧河流域生态修复及水环境整治工程</w:t>
            </w:r>
          </w:p>
        </w:tc>
        <w:tc>
          <w:tcPr>
            <w:tcW w:w="2040" w:type="pct"/>
            <w:shd w:val="clear" w:color="auto" w:fill="auto"/>
            <w:vAlign w:val="center"/>
          </w:tcPr>
          <w:p w14:paraId="2C9B8606">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河道生态清淤，修建生态护岸河堤，种植绿化植物、入渭口段修建景观水系、近水平台、敷设截污管道、配备太阳能路灯、休闲座椅等</w:t>
            </w:r>
          </w:p>
        </w:tc>
        <w:tc>
          <w:tcPr>
            <w:tcW w:w="460" w:type="pct"/>
            <w:shd w:val="clear" w:color="auto" w:fill="auto"/>
            <w:vAlign w:val="center"/>
          </w:tcPr>
          <w:p w14:paraId="052642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西关玉涧河</w:t>
            </w:r>
          </w:p>
        </w:tc>
        <w:tc>
          <w:tcPr>
            <w:tcW w:w="374" w:type="pct"/>
            <w:shd w:val="clear" w:color="auto" w:fill="auto"/>
            <w:vAlign w:val="center"/>
          </w:tcPr>
          <w:p w14:paraId="3EB6C5F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45ECA15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7585177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4E224A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1C37A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7F072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1F14F8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328</w:t>
            </w:r>
          </w:p>
        </w:tc>
        <w:tc>
          <w:tcPr>
            <w:tcW w:w="490" w:type="pct"/>
            <w:shd w:val="clear" w:color="auto" w:fill="auto"/>
            <w:vAlign w:val="center"/>
          </w:tcPr>
          <w:p w14:paraId="65D4FEC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金台区222省道生态长廊建设工程</w:t>
            </w:r>
          </w:p>
        </w:tc>
        <w:tc>
          <w:tcPr>
            <w:tcW w:w="2040" w:type="pct"/>
            <w:shd w:val="clear" w:color="auto" w:fill="auto"/>
            <w:vAlign w:val="center"/>
          </w:tcPr>
          <w:p w14:paraId="7AAC7831">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对222省道两侧长度30.4公里进行绿化。树种有意大利杨树、雪松、水杉、女贞、槐树、冬青等，构建生态屏障</w:t>
            </w:r>
          </w:p>
        </w:tc>
        <w:tc>
          <w:tcPr>
            <w:tcW w:w="460" w:type="pct"/>
            <w:shd w:val="clear" w:color="auto" w:fill="auto"/>
            <w:vAlign w:val="center"/>
          </w:tcPr>
          <w:p w14:paraId="732D0E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222省道金台段</w:t>
            </w:r>
          </w:p>
        </w:tc>
        <w:tc>
          <w:tcPr>
            <w:tcW w:w="374" w:type="pct"/>
            <w:shd w:val="clear" w:color="auto" w:fill="auto"/>
            <w:vAlign w:val="center"/>
          </w:tcPr>
          <w:p w14:paraId="1A65DD9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1A4351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77" w:type="pct"/>
            <w:shd w:val="clear" w:color="auto" w:fill="auto"/>
            <w:vAlign w:val="center"/>
          </w:tcPr>
          <w:p w14:paraId="6B2B0F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0.12</w:t>
            </w:r>
          </w:p>
        </w:tc>
        <w:tc>
          <w:tcPr>
            <w:tcW w:w="319" w:type="pct"/>
            <w:shd w:val="clear" w:color="auto" w:fill="auto"/>
            <w:vAlign w:val="center"/>
          </w:tcPr>
          <w:p w14:paraId="6BEB6C1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社会资金</w:t>
            </w:r>
          </w:p>
        </w:tc>
        <w:tc>
          <w:tcPr>
            <w:tcW w:w="392" w:type="pct"/>
            <w:shd w:val="clear" w:color="auto" w:fill="auto"/>
            <w:vAlign w:val="center"/>
          </w:tcPr>
          <w:p w14:paraId="76E55A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区交通局</w:t>
            </w:r>
          </w:p>
        </w:tc>
      </w:tr>
      <w:tr w14:paraId="47460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18" w:hRule="atLeast"/>
        </w:trPr>
        <w:tc>
          <w:tcPr>
            <w:tcW w:w="225" w:type="pct"/>
            <w:shd w:val="clear" w:color="auto" w:fill="auto"/>
            <w:vAlign w:val="center"/>
          </w:tcPr>
          <w:p w14:paraId="797481F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329</w:t>
            </w:r>
          </w:p>
        </w:tc>
        <w:tc>
          <w:tcPr>
            <w:tcW w:w="490" w:type="pct"/>
            <w:shd w:val="clear" w:color="auto" w:fill="auto"/>
            <w:vAlign w:val="center"/>
          </w:tcPr>
          <w:p w14:paraId="0ED7BB6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“水润宝鸡”建设工程</w:t>
            </w:r>
          </w:p>
        </w:tc>
        <w:tc>
          <w:tcPr>
            <w:tcW w:w="2040" w:type="pct"/>
            <w:shd w:val="clear" w:color="auto" w:fill="auto"/>
            <w:vAlign w:val="center"/>
          </w:tcPr>
          <w:p w14:paraId="12671462">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对宝鸡峡林家村水利枢纽至有关入渭口区间57公里范围的内渭河及其支流以及宝鸡峡渠道实施水系连通，建设生态堤防，修复滩面，恢复水生态，构建健康循环的水网格局</w:t>
            </w:r>
          </w:p>
        </w:tc>
        <w:tc>
          <w:tcPr>
            <w:tcW w:w="460" w:type="pct"/>
            <w:shd w:val="clear" w:color="auto" w:fill="auto"/>
            <w:vAlign w:val="center"/>
          </w:tcPr>
          <w:p w14:paraId="0290044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4880AF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4EAA80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77" w:type="pct"/>
            <w:shd w:val="clear" w:color="auto" w:fill="auto"/>
            <w:vAlign w:val="center"/>
          </w:tcPr>
          <w:p w14:paraId="45B5E7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0.15</w:t>
            </w:r>
          </w:p>
        </w:tc>
        <w:tc>
          <w:tcPr>
            <w:tcW w:w="319" w:type="pct"/>
            <w:shd w:val="clear" w:color="auto" w:fill="auto"/>
            <w:vAlign w:val="center"/>
          </w:tcPr>
          <w:p w14:paraId="1CA01E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3AB7CCA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区林业局</w:t>
            </w:r>
          </w:p>
        </w:tc>
      </w:tr>
      <w:tr w14:paraId="5B2AA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68" w:hRule="atLeast"/>
        </w:trPr>
        <w:tc>
          <w:tcPr>
            <w:tcW w:w="225" w:type="pct"/>
            <w:shd w:val="clear" w:color="auto" w:fill="auto"/>
            <w:vAlign w:val="center"/>
          </w:tcPr>
          <w:p w14:paraId="103AC7E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330</w:t>
            </w:r>
          </w:p>
        </w:tc>
        <w:tc>
          <w:tcPr>
            <w:tcW w:w="490" w:type="pct"/>
            <w:shd w:val="clear" w:color="auto" w:fill="auto"/>
            <w:vAlign w:val="center"/>
          </w:tcPr>
          <w:p w14:paraId="0E2E604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金台区游园绿化改造提升项目</w:t>
            </w:r>
          </w:p>
        </w:tc>
        <w:tc>
          <w:tcPr>
            <w:tcW w:w="2040" w:type="pct"/>
            <w:shd w:val="clear" w:color="auto" w:fill="auto"/>
            <w:vAlign w:val="center"/>
          </w:tcPr>
          <w:p w14:paraId="075BE30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对区域范围内福谭游园、团结运动公园、老旧公厕等进行改造提升，配套绿化、给排水等设施</w:t>
            </w:r>
          </w:p>
        </w:tc>
        <w:tc>
          <w:tcPr>
            <w:tcW w:w="460" w:type="pct"/>
            <w:shd w:val="clear" w:color="auto" w:fill="auto"/>
            <w:vAlign w:val="center"/>
          </w:tcPr>
          <w:p w14:paraId="7F39D9B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5E7CB6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317B9CE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77" w:type="pct"/>
            <w:shd w:val="clear" w:color="auto" w:fill="auto"/>
            <w:vAlign w:val="center"/>
          </w:tcPr>
          <w:p w14:paraId="1C1315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0.5</w:t>
            </w:r>
          </w:p>
        </w:tc>
        <w:tc>
          <w:tcPr>
            <w:tcW w:w="319" w:type="pct"/>
            <w:shd w:val="clear" w:color="auto" w:fill="auto"/>
            <w:vAlign w:val="center"/>
          </w:tcPr>
          <w:p w14:paraId="6666E7D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8DD63E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17"/>
                <w:kern w:val="0"/>
                <w:sz w:val="20"/>
                <w:szCs w:val="20"/>
              </w:rPr>
              <w:t>区城市执法局</w:t>
            </w:r>
          </w:p>
        </w:tc>
      </w:tr>
      <w:tr w14:paraId="5E956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64" w:hRule="atLeast"/>
        </w:trPr>
        <w:tc>
          <w:tcPr>
            <w:tcW w:w="225" w:type="pct"/>
            <w:shd w:val="clear" w:color="auto" w:fill="auto"/>
            <w:vAlign w:val="center"/>
          </w:tcPr>
          <w:p w14:paraId="06C989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331</w:t>
            </w:r>
          </w:p>
        </w:tc>
        <w:tc>
          <w:tcPr>
            <w:tcW w:w="490" w:type="pct"/>
            <w:shd w:val="clear" w:color="auto" w:fill="auto"/>
            <w:vAlign w:val="center"/>
          </w:tcPr>
          <w:p w14:paraId="067983C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金台区代家湾水保示范园提升工程</w:t>
            </w:r>
          </w:p>
        </w:tc>
        <w:tc>
          <w:tcPr>
            <w:tcW w:w="2040" w:type="pct"/>
            <w:shd w:val="clear" w:color="auto" w:fill="auto"/>
            <w:vAlign w:val="center"/>
          </w:tcPr>
          <w:p w14:paraId="196DC65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实施园区景观桥梁、林相改造、游步道、小道路等提升工程</w:t>
            </w:r>
          </w:p>
        </w:tc>
        <w:tc>
          <w:tcPr>
            <w:tcW w:w="460" w:type="pct"/>
            <w:shd w:val="clear" w:color="auto" w:fill="auto"/>
            <w:vAlign w:val="center"/>
          </w:tcPr>
          <w:p w14:paraId="033586E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代家湾</w:t>
            </w:r>
          </w:p>
        </w:tc>
        <w:tc>
          <w:tcPr>
            <w:tcW w:w="374" w:type="pct"/>
            <w:shd w:val="clear" w:color="auto" w:fill="auto"/>
            <w:vAlign w:val="center"/>
          </w:tcPr>
          <w:p w14:paraId="5DD5DB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02766C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77" w:type="pct"/>
            <w:shd w:val="clear" w:color="auto" w:fill="auto"/>
            <w:vAlign w:val="center"/>
          </w:tcPr>
          <w:p w14:paraId="7C6D4EE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0.08</w:t>
            </w:r>
          </w:p>
        </w:tc>
        <w:tc>
          <w:tcPr>
            <w:tcW w:w="319" w:type="pct"/>
            <w:shd w:val="clear" w:color="auto" w:fill="auto"/>
            <w:vAlign w:val="center"/>
          </w:tcPr>
          <w:p w14:paraId="689BEB2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中省补助</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地方自筹</w:t>
            </w:r>
          </w:p>
        </w:tc>
        <w:tc>
          <w:tcPr>
            <w:tcW w:w="392" w:type="pct"/>
            <w:shd w:val="clear" w:color="auto" w:fill="auto"/>
            <w:vAlign w:val="center"/>
          </w:tcPr>
          <w:p w14:paraId="1394D78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北坡建委    </w:t>
            </w:r>
          </w:p>
        </w:tc>
      </w:tr>
      <w:tr w14:paraId="1A6FD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6" w:hRule="atLeast"/>
        </w:trPr>
        <w:tc>
          <w:tcPr>
            <w:tcW w:w="225" w:type="pct"/>
            <w:shd w:val="clear" w:color="auto" w:fill="auto"/>
            <w:vAlign w:val="center"/>
          </w:tcPr>
          <w:p w14:paraId="3D29A8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332</w:t>
            </w:r>
          </w:p>
        </w:tc>
        <w:tc>
          <w:tcPr>
            <w:tcW w:w="490" w:type="pct"/>
            <w:shd w:val="clear" w:color="auto" w:fill="auto"/>
            <w:vAlign w:val="center"/>
          </w:tcPr>
          <w:p w14:paraId="1F22BE9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宝鸡廉政公园绿化项目</w:t>
            </w:r>
          </w:p>
        </w:tc>
        <w:tc>
          <w:tcPr>
            <w:tcW w:w="2040" w:type="pct"/>
            <w:shd w:val="clear" w:color="auto" w:fill="auto"/>
            <w:vAlign w:val="center"/>
          </w:tcPr>
          <w:p w14:paraId="0C0BE4B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占地50亩，栽植乔木、灌木等绿植，配套游园道路、景观小品等设施</w:t>
            </w:r>
          </w:p>
        </w:tc>
        <w:tc>
          <w:tcPr>
            <w:tcW w:w="460" w:type="pct"/>
            <w:shd w:val="clear" w:color="auto" w:fill="auto"/>
            <w:vAlign w:val="center"/>
          </w:tcPr>
          <w:p w14:paraId="48E80B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71CB91D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w:t>
            </w:r>
          </w:p>
        </w:tc>
        <w:tc>
          <w:tcPr>
            <w:tcW w:w="321" w:type="pct"/>
            <w:shd w:val="clear" w:color="auto" w:fill="auto"/>
            <w:vAlign w:val="center"/>
          </w:tcPr>
          <w:p w14:paraId="0FB86C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77" w:type="pct"/>
            <w:shd w:val="clear" w:color="auto" w:fill="auto"/>
            <w:vAlign w:val="center"/>
          </w:tcPr>
          <w:p w14:paraId="5397BF4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w:t>
            </w:r>
          </w:p>
        </w:tc>
        <w:tc>
          <w:tcPr>
            <w:tcW w:w="319" w:type="pct"/>
            <w:shd w:val="clear" w:color="auto" w:fill="auto"/>
            <w:vAlign w:val="center"/>
          </w:tcPr>
          <w:p w14:paraId="18E870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7510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314C4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37" w:hRule="atLeast"/>
        </w:trPr>
        <w:tc>
          <w:tcPr>
            <w:tcW w:w="225" w:type="pct"/>
            <w:shd w:val="clear" w:color="auto" w:fill="auto"/>
            <w:vAlign w:val="center"/>
          </w:tcPr>
          <w:p w14:paraId="2C1A541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33</w:t>
            </w:r>
          </w:p>
        </w:tc>
        <w:tc>
          <w:tcPr>
            <w:tcW w:w="490" w:type="pct"/>
            <w:shd w:val="clear" w:color="auto" w:fill="auto"/>
            <w:vAlign w:val="center"/>
          </w:tcPr>
          <w:p w14:paraId="544D015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蟠龙新区生态绿廊系统项目</w:t>
            </w:r>
          </w:p>
        </w:tc>
        <w:tc>
          <w:tcPr>
            <w:tcW w:w="2040" w:type="pct"/>
            <w:shd w:val="clear" w:color="auto" w:fill="auto"/>
            <w:vAlign w:val="center"/>
          </w:tcPr>
          <w:p w14:paraId="4B647FBB">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城市生态林地36.75公顷，主要建设景观林带面积为22.06万平方米，林下绿化面积14.71万平方米，景观铺装0.5万平方米，配套管理用房300平方米，铺设人行步道3万米，铺设绿地喷灌管道3.68万米</w:t>
            </w:r>
          </w:p>
        </w:tc>
        <w:tc>
          <w:tcPr>
            <w:tcW w:w="460" w:type="pct"/>
            <w:shd w:val="clear" w:color="auto" w:fill="auto"/>
            <w:vAlign w:val="center"/>
          </w:tcPr>
          <w:p w14:paraId="7BA771B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5B18BB8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2021-2030</w:t>
            </w:r>
          </w:p>
        </w:tc>
        <w:tc>
          <w:tcPr>
            <w:tcW w:w="321" w:type="pct"/>
            <w:shd w:val="clear" w:color="auto" w:fill="auto"/>
            <w:vAlign w:val="center"/>
          </w:tcPr>
          <w:p w14:paraId="54344DB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77" w:type="pct"/>
            <w:shd w:val="clear" w:color="auto" w:fill="auto"/>
            <w:vAlign w:val="center"/>
          </w:tcPr>
          <w:p w14:paraId="154A01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5</w:t>
            </w:r>
          </w:p>
        </w:tc>
        <w:tc>
          <w:tcPr>
            <w:tcW w:w="319" w:type="pct"/>
            <w:shd w:val="clear" w:color="auto" w:fill="auto"/>
            <w:vAlign w:val="center"/>
          </w:tcPr>
          <w:p w14:paraId="29596B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地方自筹 </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60C350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71A31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6326995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（二）</w:t>
            </w:r>
          </w:p>
        </w:tc>
        <w:tc>
          <w:tcPr>
            <w:tcW w:w="490" w:type="pct"/>
            <w:shd w:val="clear" w:color="auto" w:fill="auto"/>
            <w:vAlign w:val="center"/>
          </w:tcPr>
          <w:p w14:paraId="6E580C01">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1"/>
                <w:kern w:val="0"/>
                <w:sz w:val="20"/>
                <w:szCs w:val="20"/>
              </w:rPr>
              <w:t>资源综合利用（4）</w:t>
            </w:r>
          </w:p>
        </w:tc>
        <w:tc>
          <w:tcPr>
            <w:tcW w:w="2040" w:type="pct"/>
            <w:shd w:val="clear" w:color="auto" w:fill="auto"/>
            <w:vAlign w:val="center"/>
          </w:tcPr>
          <w:p w14:paraId="53E02105">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3C69B20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67F1DE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60B19B0B">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26.1804</w:t>
            </w:r>
          </w:p>
        </w:tc>
        <w:tc>
          <w:tcPr>
            <w:tcW w:w="377" w:type="pct"/>
            <w:shd w:val="clear" w:color="auto" w:fill="auto"/>
            <w:vAlign w:val="center"/>
          </w:tcPr>
          <w:p w14:paraId="0D4D9EAC">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7.968</w:t>
            </w:r>
          </w:p>
        </w:tc>
        <w:tc>
          <w:tcPr>
            <w:tcW w:w="319" w:type="pct"/>
            <w:shd w:val="clear" w:color="auto" w:fill="auto"/>
            <w:vAlign w:val="center"/>
          </w:tcPr>
          <w:p w14:paraId="2FD16A3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60E981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1258C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85" w:hRule="atLeast"/>
        </w:trPr>
        <w:tc>
          <w:tcPr>
            <w:tcW w:w="225" w:type="pct"/>
            <w:shd w:val="clear" w:color="auto" w:fill="auto"/>
            <w:vAlign w:val="center"/>
          </w:tcPr>
          <w:p w14:paraId="46609E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334</w:t>
            </w:r>
          </w:p>
        </w:tc>
        <w:tc>
          <w:tcPr>
            <w:tcW w:w="490" w:type="pct"/>
            <w:shd w:val="clear" w:color="auto" w:fill="auto"/>
            <w:vAlign w:val="center"/>
          </w:tcPr>
          <w:p w14:paraId="2460342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金台区城市建筑垃圾再生资源利用项目</w:t>
            </w:r>
          </w:p>
        </w:tc>
        <w:tc>
          <w:tcPr>
            <w:tcW w:w="2040" w:type="pct"/>
            <w:shd w:val="clear" w:color="auto" w:fill="auto"/>
            <w:vAlign w:val="center"/>
          </w:tcPr>
          <w:p w14:paraId="3FC9AB04">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建设年处理300万吨建筑垃圾生产线及配套设施，年生产20万吨机制砂，12万吨路缘石，年产40万吨</w:t>
            </w:r>
            <w:r>
              <w:rPr>
                <w:rFonts w:hint="eastAsia" w:ascii="仿宋_GB2312" w:hAnsi="宋体" w:eastAsia="仿宋_GB2312" w:cs="宋体"/>
                <w:kern w:val="0"/>
                <w:sz w:val="20"/>
                <w:szCs w:val="20"/>
                <w:lang w:eastAsia="zh-CN"/>
              </w:rPr>
              <w:t>干混砂浆</w:t>
            </w:r>
          </w:p>
        </w:tc>
        <w:tc>
          <w:tcPr>
            <w:tcW w:w="460" w:type="pct"/>
            <w:shd w:val="clear" w:color="auto" w:fill="auto"/>
            <w:vAlign w:val="center"/>
          </w:tcPr>
          <w:p w14:paraId="046E36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金台区西关</w:t>
            </w:r>
          </w:p>
        </w:tc>
        <w:tc>
          <w:tcPr>
            <w:tcW w:w="374" w:type="pct"/>
            <w:shd w:val="clear" w:color="auto" w:fill="auto"/>
            <w:vAlign w:val="center"/>
          </w:tcPr>
          <w:p w14:paraId="2DC47D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46C0B85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1.0624</w:t>
            </w:r>
          </w:p>
        </w:tc>
        <w:tc>
          <w:tcPr>
            <w:tcW w:w="377" w:type="pct"/>
            <w:shd w:val="clear" w:color="auto" w:fill="auto"/>
            <w:vAlign w:val="center"/>
          </w:tcPr>
          <w:p w14:paraId="48A9F8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1.05</w:t>
            </w:r>
          </w:p>
        </w:tc>
        <w:tc>
          <w:tcPr>
            <w:tcW w:w="319" w:type="pct"/>
            <w:shd w:val="clear" w:color="auto" w:fill="auto"/>
            <w:vAlign w:val="center"/>
          </w:tcPr>
          <w:p w14:paraId="3671AEE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3807B3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西关街道</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办事处</w:t>
            </w:r>
          </w:p>
        </w:tc>
      </w:tr>
      <w:tr w14:paraId="02C9C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54" w:hRule="atLeast"/>
        </w:trPr>
        <w:tc>
          <w:tcPr>
            <w:tcW w:w="225" w:type="pct"/>
            <w:shd w:val="clear" w:color="auto" w:fill="auto"/>
            <w:vAlign w:val="center"/>
          </w:tcPr>
          <w:p w14:paraId="4B0AE08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335</w:t>
            </w:r>
          </w:p>
        </w:tc>
        <w:tc>
          <w:tcPr>
            <w:tcW w:w="490" w:type="pct"/>
            <w:shd w:val="clear" w:color="auto" w:fill="auto"/>
            <w:vAlign w:val="center"/>
          </w:tcPr>
          <w:p w14:paraId="3AD4BB9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金台区新建科翔移动式建筑垃圾回收处理再利用项目</w:t>
            </w:r>
          </w:p>
        </w:tc>
        <w:tc>
          <w:tcPr>
            <w:tcW w:w="2040" w:type="pct"/>
            <w:shd w:val="clear" w:color="auto" w:fill="auto"/>
            <w:vAlign w:val="center"/>
          </w:tcPr>
          <w:p w14:paraId="0E449974">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建设年处理量</w:t>
            </w:r>
            <w:r>
              <w:rPr>
                <w:rFonts w:hint="eastAsia" w:ascii="仿宋_GB2312" w:hAnsi="宋体" w:eastAsia="仿宋_GB2312" w:cs="宋体"/>
                <w:kern w:val="0"/>
                <w:sz w:val="20"/>
                <w:szCs w:val="20"/>
                <w:lang w:eastAsia="zh-CN"/>
              </w:rPr>
              <w:t>80万-100万</w:t>
            </w:r>
            <w:r>
              <w:rPr>
                <w:rFonts w:hint="eastAsia" w:ascii="仿宋_GB2312" w:hAnsi="宋体" w:eastAsia="仿宋_GB2312" w:cs="宋体"/>
                <w:kern w:val="0"/>
                <w:sz w:val="20"/>
                <w:szCs w:val="20"/>
              </w:rPr>
              <w:t>吨建筑垃圾生产线，年生产混凝土再生骨料20万吨，墙体材料30万吨，道路基础材料40万吨。购置二条移动式履带破碎机，二条移动式履带筛分车，二台锤式破碎机，四台挖掘机，四台装载机，二台柴油发电机组，二台洒水车，八台雾炮机等设备</w:t>
            </w:r>
          </w:p>
        </w:tc>
        <w:tc>
          <w:tcPr>
            <w:tcW w:w="460" w:type="pct"/>
            <w:shd w:val="clear" w:color="auto" w:fill="auto"/>
            <w:vAlign w:val="center"/>
          </w:tcPr>
          <w:p w14:paraId="36A5ECE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037B87A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17C4878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77" w:type="pct"/>
            <w:shd w:val="clear" w:color="auto" w:fill="auto"/>
            <w:vAlign w:val="center"/>
          </w:tcPr>
          <w:p w14:paraId="07950F6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0.318</w:t>
            </w:r>
          </w:p>
        </w:tc>
        <w:tc>
          <w:tcPr>
            <w:tcW w:w="319" w:type="pct"/>
            <w:shd w:val="clear" w:color="auto" w:fill="auto"/>
            <w:vAlign w:val="center"/>
          </w:tcPr>
          <w:p w14:paraId="3D1CF9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1BFF26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1EBCB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60" w:hRule="atLeast"/>
        </w:trPr>
        <w:tc>
          <w:tcPr>
            <w:tcW w:w="225" w:type="pct"/>
            <w:shd w:val="clear" w:color="auto" w:fill="auto"/>
            <w:vAlign w:val="center"/>
          </w:tcPr>
          <w:p w14:paraId="42D9997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336</w:t>
            </w:r>
          </w:p>
        </w:tc>
        <w:tc>
          <w:tcPr>
            <w:tcW w:w="490" w:type="pct"/>
            <w:shd w:val="clear" w:color="auto" w:fill="auto"/>
            <w:vAlign w:val="center"/>
          </w:tcPr>
          <w:p w14:paraId="77430A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金河工业园电子拆解及废物集中储存项目</w:t>
            </w:r>
          </w:p>
        </w:tc>
        <w:tc>
          <w:tcPr>
            <w:tcW w:w="2040" w:type="pct"/>
            <w:shd w:val="clear" w:color="auto" w:fill="auto"/>
            <w:vAlign w:val="center"/>
          </w:tcPr>
          <w:p w14:paraId="4F768557">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建设生产车间、仓库、危废库房以及办公用房等，购置</w:t>
            </w:r>
            <w:r>
              <w:rPr>
                <w:rFonts w:hint="eastAsia" w:ascii="仿宋_GB2312" w:hAnsi="宋体" w:eastAsia="仿宋_GB2312" w:cs="宋体"/>
                <w:kern w:val="0"/>
                <w:sz w:val="20"/>
                <w:szCs w:val="20"/>
                <w:lang w:eastAsia="zh-CN"/>
              </w:rPr>
              <w:t>专业</w:t>
            </w:r>
            <w:r>
              <w:rPr>
                <w:rFonts w:hint="eastAsia" w:ascii="仿宋_GB2312" w:hAnsi="宋体" w:eastAsia="仿宋_GB2312" w:cs="宋体"/>
                <w:kern w:val="0"/>
                <w:sz w:val="20"/>
                <w:szCs w:val="20"/>
              </w:rPr>
              <w:t>拆解流水线、拆解台等废电器综合拆解设备，用于废电器、电子回收拆解、自行拆解、废金属回收、废机电五金加工及废塑料破碎等；建成年收集4.5万吨废物的能力，设置废旧铅酸蓄电池、废催化剂暂存间，并购置叉车、风机、电子磅等设备，配套设施建设</w:t>
            </w:r>
          </w:p>
        </w:tc>
        <w:tc>
          <w:tcPr>
            <w:tcW w:w="460" w:type="pct"/>
            <w:shd w:val="clear" w:color="auto" w:fill="auto"/>
            <w:vAlign w:val="center"/>
          </w:tcPr>
          <w:p w14:paraId="46A4823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w:t>
            </w:r>
          </w:p>
        </w:tc>
        <w:tc>
          <w:tcPr>
            <w:tcW w:w="374" w:type="pct"/>
            <w:shd w:val="clear" w:color="auto" w:fill="auto"/>
            <w:vAlign w:val="center"/>
          </w:tcPr>
          <w:p w14:paraId="19F2F7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9541C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77" w:type="pct"/>
            <w:shd w:val="clear" w:color="auto" w:fill="auto"/>
            <w:vAlign w:val="center"/>
          </w:tcPr>
          <w:p w14:paraId="2D5CA1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w:t>
            </w:r>
          </w:p>
        </w:tc>
        <w:tc>
          <w:tcPr>
            <w:tcW w:w="319" w:type="pct"/>
            <w:shd w:val="clear" w:color="auto" w:fill="auto"/>
            <w:vAlign w:val="center"/>
          </w:tcPr>
          <w:p w14:paraId="020096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企业自筹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24E926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金河工业园区管委会</w:t>
            </w:r>
          </w:p>
        </w:tc>
      </w:tr>
      <w:tr w14:paraId="16F70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69" w:hRule="atLeast"/>
        </w:trPr>
        <w:tc>
          <w:tcPr>
            <w:tcW w:w="225" w:type="pct"/>
            <w:shd w:val="clear" w:color="auto" w:fill="auto"/>
            <w:vAlign w:val="center"/>
          </w:tcPr>
          <w:p w14:paraId="47F0BF5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w:t>
            </w:r>
            <w:r>
              <w:rPr>
                <w:rFonts w:ascii="仿宋_GB2312" w:hAnsi="宋体" w:eastAsia="仿宋_GB2312" w:cs="宋体"/>
                <w:kern w:val="0"/>
                <w:sz w:val="20"/>
                <w:szCs w:val="20"/>
              </w:rPr>
              <w:t>7</w:t>
            </w:r>
          </w:p>
        </w:tc>
        <w:tc>
          <w:tcPr>
            <w:tcW w:w="490" w:type="pct"/>
            <w:shd w:val="clear" w:color="auto" w:fill="auto"/>
            <w:vAlign w:val="center"/>
          </w:tcPr>
          <w:p w14:paraId="3B5F8E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宝鸡循环经济产业园</w:t>
            </w:r>
          </w:p>
        </w:tc>
        <w:tc>
          <w:tcPr>
            <w:tcW w:w="2040" w:type="pct"/>
            <w:shd w:val="clear" w:color="auto" w:fill="auto"/>
            <w:vAlign w:val="center"/>
          </w:tcPr>
          <w:p w14:paraId="3ADAE3B7">
            <w:pPr>
              <w:adjustRightInd w:val="0"/>
              <w:snapToGrid w:val="0"/>
              <w:spacing w:line="240" w:lineRule="exact"/>
              <w:rPr>
                <w:rFonts w:ascii="仿宋_GB2312" w:hAnsi="宋体" w:eastAsia="仿宋_GB2312" w:cs="宋体"/>
                <w:kern w:val="0"/>
                <w:sz w:val="20"/>
                <w:szCs w:val="20"/>
              </w:rPr>
            </w:pPr>
            <w:r>
              <w:rPr>
                <w:rFonts w:hint="eastAsia" w:ascii="仿宋_GB2312" w:hAnsi="宋体" w:eastAsia="仿宋_GB2312" w:cs="宋体"/>
                <w:kern w:val="0"/>
                <w:sz w:val="20"/>
                <w:szCs w:val="20"/>
              </w:rPr>
              <w:t>总规划用地面积为2987.36亩，其中：固废资源化利用区用地435.28亩，综合管理宣教中心、停车检修用地共约86.08亩，卫生填埋场用地600亩，绿化隔离带、环保</w:t>
            </w:r>
            <w:r>
              <w:rPr>
                <w:rFonts w:hint="eastAsia" w:ascii="仿宋_GB2312" w:hAnsi="宋体" w:eastAsia="仿宋_GB2312" w:cs="宋体"/>
                <w:kern w:val="0"/>
                <w:sz w:val="20"/>
                <w:szCs w:val="20"/>
                <w:lang w:eastAsia="zh-CN"/>
              </w:rPr>
              <w:t>主题公园</w:t>
            </w:r>
            <w:r>
              <w:rPr>
                <w:rFonts w:hint="eastAsia" w:ascii="仿宋_GB2312" w:hAnsi="宋体" w:eastAsia="仿宋_GB2312" w:cs="宋体"/>
                <w:kern w:val="0"/>
                <w:sz w:val="20"/>
                <w:szCs w:val="20"/>
              </w:rPr>
              <w:t>等生态景观区共用地1582.47亩，预留用地约283.53亩</w:t>
            </w:r>
          </w:p>
        </w:tc>
        <w:tc>
          <w:tcPr>
            <w:tcW w:w="460" w:type="pct"/>
            <w:shd w:val="clear" w:color="auto" w:fill="auto"/>
            <w:vAlign w:val="center"/>
          </w:tcPr>
          <w:p w14:paraId="2847E6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金河镇同心村</w:t>
            </w:r>
          </w:p>
        </w:tc>
        <w:tc>
          <w:tcPr>
            <w:tcW w:w="374" w:type="pct"/>
            <w:shd w:val="clear" w:color="auto" w:fill="auto"/>
            <w:vAlign w:val="center"/>
          </w:tcPr>
          <w:p w14:paraId="5AA79EA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62E2A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24.2</w:t>
            </w:r>
          </w:p>
        </w:tc>
        <w:tc>
          <w:tcPr>
            <w:tcW w:w="377" w:type="pct"/>
            <w:shd w:val="clear" w:color="auto" w:fill="auto"/>
            <w:vAlign w:val="center"/>
          </w:tcPr>
          <w:p w14:paraId="3F125F8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6</w:t>
            </w:r>
          </w:p>
        </w:tc>
        <w:tc>
          <w:tcPr>
            <w:tcW w:w="319" w:type="pct"/>
            <w:shd w:val="clear" w:color="auto" w:fill="auto"/>
            <w:vAlign w:val="center"/>
          </w:tcPr>
          <w:p w14:paraId="663F49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6F42739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金河镇人民政府</w:t>
            </w:r>
          </w:p>
        </w:tc>
      </w:tr>
      <w:tr w14:paraId="7FC18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6" w:hRule="atLeast"/>
        </w:trPr>
        <w:tc>
          <w:tcPr>
            <w:tcW w:w="225" w:type="pct"/>
            <w:shd w:val="clear" w:color="auto" w:fill="auto"/>
            <w:vAlign w:val="center"/>
          </w:tcPr>
          <w:p w14:paraId="7FFCD4A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kern w:val="0"/>
                <w:sz w:val="20"/>
                <w:szCs w:val="20"/>
              </w:rPr>
              <w:t>（三）</w:t>
            </w:r>
          </w:p>
        </w:tc>
        <w:tc>
          <w:tcPr>
            <w:tcW w:w="490" w:type="pct"/>
            <w:shd w:val="clear" w:color="auto" w:fill="auto"/>
            <w:vAlign w:val="center"/>
          </w:tcPr>
          <w:p w14:paraId="561B6244">
            <w:pPr>
              <w:adjustRightInd w:val="0"/>
              <w:snapToGrid w:val="0"/>
              <w:jc w:val="center"/>
              <w:rPr>
                <w:rFonts w:ascii="楷体_GB2312" w:hAnsi="楷体_GB2312" w:eastAsia="楷体_GB2312" w:cs="楷体_GB2312"/>
                <w:b/>
                <w:bCs/>
                <w:kern w:val="0"/>
                <w:sz w:val="20"/>
                <w:szCs w:val="20"/>
              </w:rPr>
            </w:pPr>
            <w:r>
              <w:rPr>
                <w:rFonts w:hint="eastAsia" w:ascii="楷体_GB2312" w:hAnsi="楷体_GB2312" w:eastAsia="楷体_GB2312" w:cs="楷体_GB2312"/>
                <w:b/>
                <w:bCs/>
                <w:spacing w:val="-17"/>
                <w:kern w:val="0"/>
                <w:sz w:val="20"/>
                <w:szCs w:val="20"/>
              </w:rPr>
              <w:t>污水垃圾处理（12）</w:t>
            </w:r>
          </w:p>
        </w:tc>
        <w:tc>
          <w:tcPr>
            <w:tcW w:w="2040" w:type="pct"/>
            <w:shd w:val="clear" w:color="auto" w:fill="auto"/>
            <w:vAlign w:val="center"/>
          </w:tcPr>
          <w:p w14:paraId="77997922">
            <w:pPr>
              <w:adjustRightInd w:val="0"/>
              <w:snapToGrid w:val="0"/>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　</w:t>
            </w:r>
          </w:p>
        </w:tc>
        <w:tc>
          <w:tcPr>
            <w:tcW w:w="460" w:type="pct"/>
            <w:shd w:val="clear" w:color="auto" w:fill="auto"/>
            <w:vAlign w:val="center"/>
          </w:tcPr>
          <w:p w14:paraId="089B0F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74" w:type="pct"/>
            <w:shd w:val="clear" w:color="auto" w:fill="auto"/>
            <w:vAlign w:val="center"/>
          </w:tcPr>
          <w:p w14:paraId="5B07D8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21" w:type="pct"/>
            <w:shd w:val="clear" w:color="auto" w:fill="auto"/>
            <w:vAlign w:val="center"/>
          </w:tcPr>
          <w:p w14:paraId="474E18A6">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16.1978</w:t>
            </w:r>
          </w:p>
        </w:tc>
        <w:tc>
          <w:tcPr>
            <w:tcW w:w="377" w:type="pct"/>
            <w:shd w:val="clear" w:color="auto" w:fill="auto"/>
            <w:vAlign w:val="center"/>
          </w:tcPr>
          <w:p w14:paraId="3A62DF5D">
            <w:pPr>
              <w:adjustRightInd w:val="0"/>
              <w:snapToGrid w:val="0"/>
              <w:jc w:val="center"/>
              <w:rPr>
                <w:rFonts w:ascii="仿宋_GB2312" w:hAnsi="宋体" w:eastAsia="仿宋_GB2312" w:cs="宋体"/>
                <w:b/>
                <w:bCs/>
                <w:kern w:val="0"/>
                <w:sz w:val="20"/>
                <w:szCs w:val="20"/>
              </w:rPr>
            </w:pPr>
            <w:r>
              <w:rPr>
                <w:rFonts w:hint="eastAsia" w:ascii="仿宋_GB2312" w:hAnsi="宋体" w:eastAsia="仿宋_GB2312" w:cs="宋体"/>
                <w:b/>
                <w:bCs/>
                <w:kern w:val="0"/>
                <w:sz w:val="20"/>
                <w:szCs w:val="20"/>
              </w:rPr>
              <w:t>15.6978</w:t>
            </w:r>
          </w:p>
        </w:tc>
        <w:tc>
          <w:tcPr>
            <w:tcW w:w="319" w:type="pct"/>
            <w:shd w:val="clear" w:color="auto" w:fill="auto"/>
            <w:vAlign w:val="center"/>
          </w:tcPr>
          <w:p w14:paraId="0590D26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c>
          <w:tcPr>
            <w:tcW w:w="392" w:type="pct"/>
            <w:shd w:val="clear" w:color="auto" w:fill="auto"/>
            <w:vAlign w:val="center"/>
          </w:tcPr>
          <w:p w14:paraId="2A4A10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w:t>
            </w:r>
          </w:p>
        </w:tc>
      </w:tr>
      <w:tr w14:paraId="66FC6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75" w:hRule="atLeast"/>
        </w:trPr>
        <w:tc>
          <w:tcPr>
            <w:tcW w:w="225" w:type="pct"/>
            <w:shd w:val="clear" w:color="auto" w:fill="auto"/>
            <w:vAlign w:val="center"/>
          </w:tcPr>
          <w:p w14:paraId="1D729C8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338</w:t>
            </w:r>
          </w:p>
        </w:tc>
        <w:tc>
          <w:tcPr>
            <w:tcW w:w="490" w:type="pct"/>
            <w:shd w:val="clear" w:color="auto" w:fill="auto"/>
            <w:vAlign w:val="center"/>
          </w:tcPr>
          <w:p w14:paraId="5DFBEDF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金台区蟠龙镇生活垃圾收运工程</w:t>
            </w:r>
          </w:p>
        </w:tc>
        <w:tc>
          <w:tcPr>
            <w:tcW w:w="2040" w:type="pct"/>
            <w:shd w:val="clear" w:color="auto" w:fill="auto"/>
            <w:vAlign w:val="center"/>
          </w:tcPr>
          <w:p w14:paraId="01B4FBFD">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建设日转运规模140吨，建设4个垃圾转运站，配置3立方米垃圾箱109个，3立方米村级垃圾转运车54辆，配置10立方米的大型垃圾转运车4辆</w:t>
            </w:r>
          </w:p>
        </w:tc>
        <w:tc>
          <w:tcPr>
            <w:tcW w:w="460" w:type="pct"/>
            <w:shd w:val="clear" w:color="auto" w:fill="auto"/>
            <w:vAlign w:val="center"/>
          </w:tcPr>
          <w:p w14:paraId="314EAE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2F24657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65BC4FC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77" w:type="pct"/>
            <w:shd w:val="clear" w:color="auto" w:fill="auto"/>
            <w:vAlign w:val="center"/>
          </w:tcPr>
          <w:p w14:paraId="3914A8F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0.2974</w:t>
            </w:r>
          </w:p>
        </w:tc>
        <w:tc>
          <w:tcPr>
            <w:tcW w:w="319" w:type="pct"/>
            <w:shd w:val="clear" w:color="auto" w:fill="auto"/>
            <w:vAlign w:val="center"/>
          </w:tcPr>
          <w:p w14:paraId="48D1F12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854CA5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24F58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97" w:hRule="atLeast"/>
        </w:trPr>
        <w:tc>
          <w:tcPr>
            <w:tcW w:w="225" w:type="pct"/>
            <w:shd w:val="clear" w:color="auto" w:fill="auto"/>
            <w:vAlign w:val="center"/>
          </w:tcPr>
          <w:p w14:paraId="3BAE45B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339</w:t>
            </w:r>
          </w:p>
        </w:tc>
        <w:tc>
          <w:tcPr>
            <w:tcW w:w="490" w:type="pct"/>
            <w:shd w:val="clear" w:color="auto" w:fill="auto"/>
            <w:vAlign w:val="center"/>
          </w:tcPr>
          <w:p w14:paraId="33106CC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金台区蟠龙镇污水管网建设和处理工程</w:t>
            </w:r>
          </w:p>
        </w:tc>
        <w:tc>
          <w:tcPr>
            <w:tcW w:w="2040" w:type="pct"/>
            <w:shd w:val="clear" w:color="auto" w:fill="auto"/>
            <w:vAlign w:val="center"/>
          </w:tcPr>
          <w:p w14:paraId="31ED5A7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建设污水管网21570米，检查井692座，改造涝池6个，配套绿化、道路等设施</w:t>
            </w:r>
          </w:p>
        </w:tc>
        <w:tc>
          <w:tcPr>
            <w:tcW w:w="460" w:type="pct"/>
            <w:shd w:val="clear" w:color="auto" w:fill="auto"/>
            <w:vAlign w:val="center"/>
          </w:tcPr>
          <w:p w14:paraId="256854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6EA91D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13060A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77" w:type="pct"/>
            <w:shd w:val="clear" w:color="auto" w:fill="auto"/>
            <w:vAlign w:val="center"/>
          </w:tcPr>
          <w:p w14:paraId="6C87136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0.4453</w:t>
            </w:r>
          </w:p>
        </w:tc>
        <w:tc>
          <w:tcPr>
            <w:tcW w:w="319" w:type="pct"/>
            <w:shd w:val="clear" w:color="auto" w:fill="auto"/>
            <w:vAlign w:val="center"/>
          </w:tcPr>
          <w:p w14:paraId="38BFADD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0C4520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4F313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9" w:hRule="atLeast"/>
        </w:trPr>
        <w:tc>
          <w:tcPr>
            <w:tcW w:w="225" w:type="pct"/>
            <w:shd w:val="clear" w:color="auto" w:fill="auto"/>
            <w:vAlign w:val="center"/>
          </w:tcPr>
          <w:p w14:paraId="2FC76DD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340</w:t>
            </w:r>
          </w:p>
        </w:tc>
        <w:tc>
          <w:tcPr>
            <w:tcW w:w="490" w:type="pct"/>
            <w:shd w:val="clear" w:color="auto" w:fill="auto"/>
            <w:vAlign w:val="center"/>
          </w:tcPr>
          <w:p w14:paraId="14B1106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金台区金河镇污水处理厂提标改造项目</w:t>
            </w:r>
          </w:p>
        </w:tc>
        <w:tc>
          <w:tcPr>
            <w:tcW w:w="2040" w:type="pct"/>
            <w:shd w:val="clear" w:color="auto" w:fill="auto"/>
            <w:vAlign w:val="center"/>
          </w:tcPr>
          <w:p w14:paraId="13EA4BD9">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提标改造日处理能力1700立方米/日，铺设污水管网16.6公里，新建好氧硝化池、反硝化生物滤池、加药储药间 ，购置安装全过程生物除臭技术+点源辅助离子除臭系统，配套改造风机房、室外工艺、管道及给排水、供电、自动控制等</w:t>
            </w:r>
          </w:p>
        </w:tc>
        <w:tc>
          <w:tcPr>
            <w:tcW w:w="460" w:type="pct"/>
            <w:shd w:val="clear" w:color="auto" w:fill="auto"/>
            <w:vAlign w:val="center"/>
          </w:tcPr>
          <w:p w14:paraId="28E54E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金河镇</w:t>
            </w:r>
          </w:p>
        </w:tc>
        <w:tc>
          <w:tcPr>
            <w:tcW w:w="374" w:type="pct"/>
            <w:shd w:val="clear" w:color="auto" w:fill="auto"/>
            <w:vAlign w:val="center"/>
          </w:tcPr>
          <w:p w14:paraId="1F91B35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B4473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77" w:type="pct"/>
            <w:shd w:val="clear" w:color="auto" w:fill="auto"/>
            <w:vAlign w:val="center"/>
          </w:tcPr>
          <w:p w14:paraId="3A7D0DE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0.4847</w:t>
            </w:r>
          </w:p>
        </w:tc>
        <w:tc>
          <w:tcPr>
            <w:tcW w:w="319" w:type="pct"/>
            <w:shd w:val="clear" w:color="auto" w:fill="auto"/>
            <w:vAlign w:val="center"/>
          </w:tcPr>
          <w:p w14:paraId="5DB02DD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7070D1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金河镇人民政府       </w:t>
            </w:r>
          </w:p>
        </w:tc>
      </w:tr>
      <w:tr w14:paraId="0F00C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87" w:hRule="atLeast"/>
        </w:trPr>
        <w:tc>
          <w:tcPr>
            <w:tcW w:w="225" w:type="pct"/>
            <w:shd w:val="clear" w:color="auto" w:fill="auto"/>
            <w:vAlign w:val="center"/>
          </w:tcPr>
          <w:p w14:paraId="7482887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341</w:t>
            </w:r>
          </w:p>
        </w:tc>
        <w:tc>
          <w:tcPr>
            <w:tcW w:w="490" w:type="pct"/>
            <w:shd w:val="clear" w:color="auto" w:fill="auto"/>
            <w:vAlign w:val="center"/>
          </w:tcPr>
          <w:p w14:paraId="13A17ED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金台区硖石镇域污水集中处理设施及管网工程</w:t>
            </w:r>
          </w:p>
        </w:tc>
        <w:tc>
          <w:tcPr>
            <w:tcW w:w="2040" w:type="pct"/>
            <w:shd w:val="clear" w:color="auto" w:fill="auto"/>
            <w:vAlign w:val="center"/>
          </w:tcPr>
          <w:p w14:paraId="6A2DBBEE">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占地5亩，新建日处理规模为500吨/日的生活污水处理站1座，铺设污水管网18886米，设置检查井252座，配套建设道路、绿化等</w:t>
            </w:r>
          </w:p>
        </w:tc>
        <w:tc>
          <w:tcPr>
            <w:tcW w:w="460" w:type="pct"/>
            <w:shd w:val="clear" w:color="auto" w:fill="auto"/>
            <w:vAlign w:val="center"/>
          </w:tcPr>
          <w:p w14:paraId="1DA996A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w:t>
            </w:r>
          </w:p>
        </w:tc>
        <w:tc>
          <w:tcPr>
            <w:tcW w:w="374" w:type="pct"/>
            <w:shd w:val="clear" w:color="auto" w:fill="auto"/>
            <w:vAlign w:val="center"/>
          </w:tcPr>
          <w:p w14:paraId="17454F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7DA603A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77" w:type="pct"/>
            <w:shd w:val="clear" w:color="auto" w:fill="auto"/>
            <w:vAlign w:val="center"/>
          </w:tcPr>
          <w:p w14:paraId="3A2A83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0.3604</w:t>
            </w:r>
          </w:p>
        </w:tc>
        <w:tc>
          <w:tcPr>
            <w:tcW w:w="319" w:type="pct"/>
            <w:shd w:val="clear" w:color="auto" w:fill="auto"/>
            <w:vAlign w:val="center"/>
          </w:tcPr>
          <w:p w14:paraId="4E662F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4D383FC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硖石镇人民政府</w:t>
            </w:r>
          </w:p>
        </w:tc>
      </w:tr>
      <w:tr w14:paraId="3F0BF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45" w:hRule="atLeast"/>
        </w:trPr>
        <w:tc>
          <w:tcPr>
            <w:tcW w:w="225" w:type="pct"/>
            <w:shd w:val="clear" w:color="auto" w:fill="auto"/>
            <w:vAlign w:val="center"/>
          </w:tcPr>
          <w:p w14:paraId="59CC02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342</w:t>
            </w:r>
          </w:p>
        </w:tc>
        <w:tc>
          <w:tcPr>
            <w:tcW w:w="490" w:type="pct"/>
            <w:shd w:val="clear" w:color="auto" w:fill="auto"/>
            <w:vAlign w:val="center"/>
          </w:tcPr>
          <w:p w14:paraId="34E0140C">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宝鸡市蟠龙新区污水处理厂配套污水管网工程</w:t>
            </w:r>
          </w:p>
        </w:tc>
        <w:tc>
          <w:tcPr>
            <w:tcW w:w="2040" w:type="pct"/>
            <w:shd w:val="clear" w:color="auto" w:fill="auto"/>
            <w:vAlign w:val="center"/>
          </w:tcPr>
          <w:p w14:paraId="663DFEA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建设DN400-DN1500污水管网15.6公里，连接蟠龙新区污水处理厂，污水处理能力达到1万吨/日</w:t>
            </w:r>
          </w:p>
        </w:tc>
        <w:tc>
          <w:tcPr>
            <w:tcW w:w="460" w:type="pct"/>
            <w:shd w:val="clear" w:color="auto" w:fill="auto"/>
            <w:vAlign w:val="center"/>
          </w:tcPr>
          <w:p w14:paraId="5E81597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5A48BA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2021-2023</w:t>
            </w:r>
          </w:p>
        </w:tc>
        <w:tc>
          <w:tcPr>
            <w:tcW w:w="321" w:type="pct"/>
            <w:shd w:val="clear" w:color="auto" w:fill="auto"/>
            <w:vAlign w:val="center"/>
          </w:tcPr>
          <w:p w14:paraId="2C72040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38DABC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26D9EF2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73B6CAD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r w14:paraId="1F177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25" w:type="pct"/>
            <w:shd w:val="clear" w:color="auto" w:fill="auto"/>
            <w:vAlign w:val="center"/>
          </w:tcPr>
          <w:p w14:paraId="6C206697">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343</w:t>
            </w:r>
          </w:p>
        </w:tc>
        <w:tc>
          <w:tcPr>
            <w:tcW w:w="490" w:type="pct"/>
            <w:shd w:val="clear" w:color="auto" w:fill="auto"/>
            <w:vAlign w:val="center"/>
          </w:tcPr>
          <w:p w14:paraId="0660B5C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宝鸡市生活垃圾发电项目（PPP模式）</w:t>
            </w:r>
          </w:p>
        </w:tc>
        <w:tc>
          <w:tcPr>
            <w:tcW w:w="2040" w:type="pct"/>
            <w:shd w:val="clear" w:color="auto" w:fill="auto"/>
            <w:vAlign w:val="center"/>
          </w:tcPr>
          <w:p w14:paraId="4916DE3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建设主厂房、焚烧及烟气净化系统和垃圾池及渗滤液处理系统等，日处理生活垃圾1500吨</w:t>
            </w:r>
          </w:p>
        </w:tc>
        <w:tc>
          <w:tcPr>
            <w:tcW w:w="460" w:type="pct"/>
            <w:shd w:val="clear" w:color="auto" w:fill="auto"/>
            <w:vAlign w:val="center"/>
          </w:tcPr>
          <w:p w14:paraId="2581BF1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长寿沟</w:t>
            </w:r>
          </w:p>
        </w:tc>
        <w:tc>
          <w:tcPr>
            <w:tcW w:w="374" w:type="pct"/>
            <w:shd w:val="clear" w:color="auto" w:fill="auto"/>
            <w:vAlign w:val="center"/>
          </w:tcPr>
          <w:p w14:paraId="5D0A364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2020-2022</w:t>
            </w:r>
          </w:p>
        </w:tc>
        <w:tc>
          <w:tcPr>
            <w:tcW w:w="321" w:type="pct"/>
            <w:shd w:val="clear" w:color="auto" w:fill="auto"/>
            <w:vAlign w:val="center"/>
          </w:tcPr>
          <w:p w14:paraId="63A3C24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8.08 </w:t>
            </w:r>
          </w:p>
        </w:tc>
        <w:tc>
          <w:tcPr>
            <w:tcW w:w="377" w:type="pct"/>
            <w:shd w:val="clear" w:color="auto" w:fill="auto"/>
            <w:vAlign w:val="center"/>
          </w:tcPr>
          <w:p w14:paraId="437394D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7.58 </w:t>
            </w:r>
          </w:p>
        </w:tc>
        <w:tc>
          <w:tcPr>
            <w:tcW w:w="319" w:type="pct"/>
            <w:shd w:val="clear" w:color="auto" w:fill="auto"/>
            <w:vAlign w:val="center"/>
          </w:tcPr>
          <w:p w14:paraId="7642539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政府投资</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社会投资</w:t>
            </w:r>
          </w:p>
        </w:tc>
        <w:tc>
          <w:tcPr>
            <w:tcW w:w="392" w:type="pct"/>
            <w:shd w:val="clear" w:color="auto" w:fill="auto"/>
            <w:vAlign w:val="center"/>
          </w:tcPr>
          <w:p w14:paraId="1CB29CB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市城市管理执法局        金河镇人民政府</w:t>
            </w:r>
          </w:p>
        </w:tc>
      </w:tr>
      <w:tr w14:paraId="01200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9" w:hRule="atLeast"/>
        </w:trPr>
        <w:tc>
          <w:tcPr>
            <w:tcW w:w="225" w:type="pct"/>
            <w:shd w:val="clear" w:color="auto" w:fill="auto"/>
            <w:vAlign w:val="center"/>
          </w:tcPr>
          <w:p w14:paraId="6B806AE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344</w:t>
            </w:r>
          </w:p>
        </w:tc>
        <w:tc>
          <w:tcPr>
            <w:tcW w:w="490" w:type="pct"/>
            <w:shd w:val="clear" w:color="auto" w:fill="auto"/>
            <w:vAlign w:val="center"/>
          </w:tcPr>
          <w:p w14:paraId="624E6A5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金台区小城镇垃圾收集转运项目</w:t>
            </w:r>
          </w:p>
        </w:tc>
        <w:tc>
          <w:tcPr>
            <w:tcW w:w="2040" w:type="pct"/>
            <w:shd w:val="clear" w:color="auto" w:fill="auto"/>
            <w:vAlign w:val="center"/>
          </w:tcPr>
          <w:p w14:paraId="173CB398">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金河镇、硖石镇、胜利塬片区、蟠龙镇建设占地120亩，建设垃圾收集分类屋56处；垃圾中转站4个；购置垃圾转运车10辆、压缩式箱体15个、垃圾分类箱1500处；配套建设公共工程供电、给排水、暖通、消防等，购置安装垃圾压缩站成套设备、垃圾除尘除臭、污水处理、消杀等设备</w:t>
            </w:r>
          </w:p>
        </w:tc>
        <w:tc>
          <w:tcPr>
            <w:tcW w:w="460" w:type="pct"/>
            <w:shd w:val="clear" w:color="auto" w:fill="auto"/>
            <w:vAlign w:val="center"/>
          </w:tcPr>
          <w:p w14:paraId="6703974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金河镇  </w:t>
            </w:r>
          </w:p>
          <w:p w14:paraId="680886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硖石镇  </w:t>
            </w:r>
          </w:p>
          <w:p w14:paraId="5B8B223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蟠龙镇  </w:t>
            </w:r>
          </w:p>
          <w:p w14:paraId="63BCEFD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胜利塬</w:t>
            </w:r>
          </w:p>
        </w:tc>
        <w:tc>
          <w:tcPr>
            <w:tcW w:w="374" w:type="pct"/>
            <w:shd w:val="clear" w:color="auto" w:fill="auto"/>
            <w:vAlign w:val="center"/>
          </w:tcPr>
          <w:p w14:paraId="2C3ADC7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04DA15B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428B8C3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4B0737D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5D4E95A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28"/>
                <w:kern w:val="0"/>
                <w:sz w:val="20"/>
                <w:szCs w:val="20"/>
              </w:rPr>
              <w:t xml:space="preserve">金河镇人民政府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硖石镇人民政府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 xml:space="preserve">蟠龙镇人民政府      </w:t>
            </w:r>
            <w:r>
              <w:rPr>
                <w:rFonts w:hint="eastAsia" w:ascii="仿宋_GB2312" w:hAnsi="宋体" w:eastAsia="仿宋_GB2312" w:cs="宋体"/>
                <w:spacing w:val="-28"/>
                <w:kern w:val="0"/>
                <w:sz w:val="20"/>
                <w:szCs w:val="20"/>
              </w:rPr>
              <w:br w:type="textWrapping"/>
            </w:r>
            <w:r>
              <w:rPr>
                <w:rFonts w:hint="eastAsia" w:ascii="仿宋_GB2312" w:hAnsi="宋体" w:eastAsia="仿宋_GB2312" w:cs="宋体"/>
                <w:spacing w:val="-28"/>
                <w:kern w:val="0"/>
                <w:sz w:val="20"/>
                <w:szCs w:val="20"/>
              </w:rPr>
              <w:t>西府天地管委办</w:t>
            </w:r>
          </w:p>
        </w:tc>
      </w:tr>
      <w:tr w14:paraId="2B84B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5" w:hRule="atLeast"/>
        </w:trPr>
        <w:tc>
          <w:tcPr>
            <w:tcW w:w="225" w:type="pct"/>
            <w:shd w:val="clear" w:color="auto" w:fill="auto"/>
            <w:vAlign w:val="center"/>
          </w:tcPr>
          <w:p w14:paraId="5421569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345</w:t>
            </w:r>
          </w:p>
        </w:tc>
        <w:tc>
          <w:tcPr>
            <w:tcW w:w="490" w:type="pct"/>
            <w:shd w:val="clear" w:color="auto" w:fill="auto"/>
            <w:vAlign w:val="center"/>
          </w:tcPr>
          <w:p w14:paraId="3403C7B8">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spacing w:val="-6"/>
                <w:kern w:val="0"/>
                <w:sz w:val="20"/>
                <w:szCs w:val="20"/>
              </w:rPr>
              <w:t>金台区农村生活污水治理项目</w:t>
            </w:r>
          </w:p>
        </w:tc>
        <w:tc>
          <w:tcPr>
            <w:tcW w:w="2040" w:type="pct"/>
            <w:shd w:val="clear" w:color="auto" w:fill="auto"/>
            <w:vAlign w:val="center"/>
          </w:tcPr>
          <w:p w14:paraId="7135C56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在蟠龙镇、金河镇、硖石镇、中山西路街道办、西关街道办26个村建设污水处理设施及管网</w:t>
            </w:r>
          </w:p>
        </w:tc>
        <w:tc>
          <w:tcPr>
            <w:tcW w:w="460" w:type="pct"/>
            <w:shd w:val="clear" w:color="auto" w:fill="auto"/>
            <w:vAlign w:val="center"/>
          </w:tcPr>
          <w:p w14:paraId="31C2832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0F387421">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6C99426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77" w:type="pct"/>
            <w:shd w:val="clear" w:color="auto" w:fill="auto"/>
            <w:vAlign w:val="center"/>
          </w:tcPr>
          <w:p w14:paraId="636351B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0.85</w:t>
            </w:r>
          </w:p>
        </w:tc>
        <w:tc>
          <w:tcPr>
            <w:tcW w:w="319" w:type="pct"/>
            <w:shd w:val="clear" w:color="auto" w:fill="auto"/>
            <w:vAlign w:val="center"/>
          </w:tcPr>
          <w:p w14:paraId="5A209A1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21A4B15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市生态环境局金台分局</w:t>
            </w:r>
          </w:p>
        </w:tc>
      </w:tr>
      <w:tr w14:paraId="29E72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1" w:hRule="atLeast"/>
        </w:trPr>
        <w:tc>
          <w:tcPr>
            <w:tcW w:w="225" w:type="pct"/>
            <w:shd w:val="clear" w:color="auto" w:fill="auto"/>
            <w:vAlign w:val="center"/>
          </w:tcPr>
          <w:p w14:paraId="20F141C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346</w:t>
            </w:r>
          </w:p>
        </w:tc>
        <w:tc>
          <w:tcPr>
            <w:tcW w:w="490" w:type="pct"/>
            <w:shd w:val="clear" w:color="auto" w:fill="auto"/>
            <w:vAlign w:val="center"/>
          </w:tcPr>
          <w:p w14:paraId="6467AEC7">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宝鸡市十里铺污水处理厂准Ⅳ提标改造工程</w:t>
            </w:r>
          </w:p>
        </w:tc>
        <w:tc>
          <w:tcPr>
            <w:tcW w:w="2040" w:type="pct"/>
            <w:shd w:val="clear" w:color="auto" w:fill="auto"/>
            <w:vAlign w:val="center"/>
          </w:tcPr>
          <w:p w14:paraId="5553C48B">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在十里铺污水处理厂现状基础上新建超细格栅，改造SBR+MBBR生物池，调节池增加6m3/d的提升泵，高效沉淀池减产至6m3/d，新建6m3/d磁混凝池</w:t>
            </w:r>
          </w:p>
        </w:tc>
        <w:tc>
          <w:tcPr>
            <w:tcW w:w="460" w:type="pct"/>
            <w:shd w:val="clear" w:color="auto" w:fill="auto"/>
            <w:vAlign w:val="center"/>
          </w:tcPr>
          <w:p w14:paraId="67B9ACD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1A89549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2021-2022</w:t>
            </w:r>
          </w:p>
        </w:tc>
        <w:tc>
          <w:tcPr>
            <w:tcW w:w="321" w:type="pct"/>
            <w:shd w:val="clear" w:color="auto" w:fill="auto"/>
            <w:vAlign w:val="center"/>
          </w:tcPr>
          <w:p w14:paraId="0C33432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77" w:type="pct"/>
            <w:shd w:val="clear" w:color="auto" w:fill="auto"/>
            <w:vAlign w:val="center"/>
          </w:tcPr>
          <w:p w14:paraId="2430CDF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0.88</w:t>
            </w:r>
          </w:p>
        </w:tc>
        <w:tc>
          <w:tcPr>
            <w:tcW w:w="319" w:type="pct"/>
            <w:shd w:val="clear" w:color="auto" w:fill="auto"/>
            <w:vAlign w:val="center"/>
          </w:tcPr>
          <w:p w14:paraId="19CA7DF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3FFB436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卧龙寺街道办事处</w:t>
            </w:r>
          </w:p>
        </w:tc>
      </w:tr>
      <w:tr w14:paraId="32874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19" w:hRule="atLeast"/>
        </w:trPr>
        <w:tc>
          <w:tcPr>
            <w:tcW w:w="225" w:type="pct"/>
            <w:shd w:val="clear" w:color="auto" w:fill="auto"/>
            <w:vAlign w:val="center"/>
          </w:tcPr>
          <w:p w14:paraId="7F60AF1C">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347</w:t>
            </w:r>
          </w:p>
        </w:tc>
        <w:tc>
          <w:tcPr>
            <w:tcW w:w="490" w:type="pct"/>
            <w:shd w:val="clear" w:color="auto" w:fill="auto"/>
            <w:vAlign w:val="center"/>
          </w:tcPr>
          <w:p w14:paraId="32BDF3C9">
            <w:pPr>
              <w:adjustRightInd w:val="0"/>
              <w:snapToGrid w:val="0"/>
              <w:jc w:val="center"/>
              <w:rPr>
                <w:rFonts w:ascii="仿宋_GB2312" w:hAnsi="宋体" w:eastAsia="仿宋_GB2312" w:cs="宋体"/>
                <w:spacing w:val="-6"/>
                <w:kern w:val="0"/>
                <w:sz w:val="20"/>
                <w:szCs w:val="20"/>
              </w:rPr>
            </w:pPr>
            <w:r>
              <w:rPr>
                <w:rFonts w:hint="eastAsia" w:ascii="仿宋_GB2312" w:hAnsi="宋体" w:eastAsia="仿宋_GB2312" w:cs="宋体"/>
                <w:spacing w:val="-6"/>
                <w:kern w:val="0"/>
                <w:sz w:val="20"/>
                <w:szCs w:val="20"/>
              </w:rPr>
              <w:t>金台区生活垃圾分类处理项目</w:t>
            </w:r>
          </w:p>
        </w:tc>
        <w:tc>
          <w:tcPr>
            <w:tcW w:w="2040" w:type="pct"/>
            <w:shd w:val="clear" w:color="auto" w:fill="auto"/>
            <w:vAlign w:val="center"/>
          </w:tcPr>
          <w:p w14:paraId="34A514D0">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w:t>
            </w:r>
            <w:r>
              <w:rPr>
                <w:rFonts w:hint="eastAsia" w:ascii="仿宋_GB2312" w:hAnsi="宋体" w:eastAsia="仿宋_GB2312" w:cs="宋体"/>
                <w:kern w:val="0"/>
                <w:sz w:val="20"/>
                <w:szCs w:val="20"/>
                <w:lang w:eastAsia="zh-CN"/>
              </w:rPr>
              <w:t>“</w:t>
            </w:r>
            <w:r>
              <w:rPr>
                <w:rFonts w:hint="eastAsia" w:ascii="仿宋_GB2312" w:hAnsi="宋体" w:eastAsia="仿宋_GB2312" w:cs="宋体"/>
                <w:kern w:val="0"/>
                <w:sz w:val="20"/>
                <w:szCs w:val="20"/>
              </w:rPr>
              <w:t>两中心一个点”（可回收物分拣中心，大件垃圾拆分中心，有害垃圾暂存）；在城区建设垃圾收集分类屋；垃圾中转站；购置垃圾转运车、压缩式箱体、垃圾分类箱；配套建设供电、给排水、消防等工程，购置安装垃圾压缩站设备</w:t>
            </w:r>
          </w:p>
        </w:tc>
        <w:tc>
          <w:tcPr>
            <w:tcW w:w="460" w:type="pct"/>
            <w:shd w:val="clear" w:color="auto" w:fill="auto"/>
            <w:vAlign w:val="center"/>
          </w:tcPr>
          <w:p w14:paraId="6AB949C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w:t>
            </w:r>
          </w:p>
        </w:tc>
        <w:tc>
          <w:tcPr>
            <w:tcW w:w="374" w:type="pct"/>
            <w:shd w:val="clear" w:color="auto" w:fill="auto"/>
            <w:vAlign w:val="center"/>
          </w:tcPr>
          <w:p w14:paraId="272596B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52E5060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77" w:type="pct"/>
            <w:shd w:val="clear" w:color="auto" w:fill="auto"/>
            <w:vAlign w:val="center"/>
          </w:tcPr>
          <w:p w14:paraId="3F794F5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w:t>
            </w:r>
          </w:p>
        </w:tc>
        <w:tc>
          <w:tcPr>
            <w:tcW w:w="319" w:type="pct"/>
            <w:shd w:val="clear" w:color="auto" w:fill="auto"/>
            <w:vAlign w:val="center"/>
          </w:tcPr>
          <w:p w14:paraId="28835D2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109F9894">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 xml:space="preserve">区住建局        </w:t>
            </w:r>
            <w:r>
              <w:rPr>
                <w:rFonts w:hint="eastAsia" w:ascii="仿宋_GB2312" w:hAnsi="宋体" w:eastAsia="仿宋_GB2312" w:cs="宋体"/>
                <w:spacing w:val="-17"/>
                <w:kern w:val="0"/>
                <w:sz w:val="20"/>
                <w:szCs w:val="20"/>
              </w:rPr>
              <w:t>区城市执法局</w:t>
            </w:r>
          </w:p>
        </w:tc>
      </w:tr>
      <w:tr w14:paraId="1030C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9" w:hRule="atLeast"/>
        </w:trPr>
        <w:tc>
          <w:tcPr>
            <w:tcW w:w="225" w:type="pct"/>
            <w:shd w:val="clear" w:color="auto" w:fill="auto"/>
            <w:vAlign w:val="center"/>
          </w:tcPr>
          <w:p w14:paraId="66D04712">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348</w:t>
            </w:r>
          </w:p>
        </w:tc>
        <w:tc>
          <w:tcPr>
            <w:tcW w:w="490" w:type="pct"/>
            <w:shd w:val="clear" w:color="auto" w:fill="auto"/>
            <w:vAlign w:val="center"/>
          </w:tcPr>
          <w:p w14:paraId="37FA820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金台区蟠龙镇农村生活污水处理系统</w:t>
            </w:r>
          </w:p>
        </w:tc>
        <w:tc>
          <w:tcPr>
            <w:tcW w:w="2040" w:type="pct"/>
            <w:shd w:val="clear" w:color="auto" w:fill="auto"/>
            <w:vAlign w:val="center"/>
          </w:tcPr>
          <w:p w14:paraId="0EADAB2C">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新建500立方米/天污水处理工程，配套建设污水沉淀、收集设施；新建管道78公里，设置检查井6座；设置排污泵井4座；新建农村化粪池25座；新建林地涵养引水渠10200米</w:t>
            </w:r>
          </w:p>
        </w:tc>
        <w:tc>
          <w:tcPr>
            <w:tcW w:w="460" w:type="pct"/>
            <w:shd w:val="clear" w:color="auto" w:fill="auto"/>
            <w:vAlign w:val="center"/>
          </w:tcPr>
          <w:p w14:paraId="1E2643C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w:t>
            </w:r>
          </w:p>
        </w:tc>
        <w:tc>
          <w:tcPr>
            <w:tcW w:w="374" w:type="pct"/>
            <w:shd w:val="clear" w:color="auto" w:fill="auto"/>
            <w:vAlign w:val="center"/>
          </w:tcPr>
          <w:p w14:paraId="10729B15">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2022-2024</w:t>
            </w:r>
          </w:p>
        </w:tc>
        <w:tc>
          <w:tcPr>
            <w:tcW w:w="321" w:type="pct"/>
            <w:shd w:val="clear" w:color="auto" w:fill="auto"/>
            <w:vAlign w:val="center"/>
          </w:tcPr>
          <w:p w14:paraId="579AAFDA">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77" w:type="pct"/>
            <w:shd w:val="clear" w:color="auto" w:fill="auto"/>
            <w:vAlign w:val="center"/>
          </w:tcPr>
          <w:p w14:paraId="35D5C9DD">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0.65</w:t>
            </w:r>
          </w:p>
        </w:tc>
        <w:tc>
          <w:tcPr>
            <w:tcW w:w="319" w:type="pct"/>
            <w:shd w:val="clear" w:color="auto" w:fill="auto"/>
            <w:vAlign w:val="center"/>
          </w:tcPr>
          <w:p w14:paraId="4F9773C6">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66F159E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蟠龙镇人民政府</w:t>
            </w:r>
          </w:p>
        </w:tc>
      </w:tr>
      <w:tr w14:paraId="09633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206" w:hRule="atLeast"/>
        </w:trPr>
        <w:tc>
          <w:tcPr>
            <w:tcW w:w="225" w:type="pct"/>
            <w:shd w:val="clear" w:color="auto" w:fill="auto"/>
            <w:vAlign w:val="center"/>
          </w:tcPr>
          <w:p w14:paraId="12FB154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3</w:t>
            </w:r>
            <w:r>
              <w:rPr>
                <w:rFonts w:ascii="仿宋_GB2312" w:hAnsi="宋体" w:eastAsia="仿宋_GB2312" w:cs="宋体"/>
                <w:kern w:val="0"/>
                <w:sz w:val="20"/>
                <w:szCs w:val="20"/>
              </w:rPr>
              <w:t>49</w:t>
            </w:r>
          </w:p>
        </w:tc>
        <w:tc>
          <w:tcPr>
            <w:tcW w:w="490" w:type="pct"/>
            <w:shd w:val="clear" w:color="auto" w:fill="auto"/>
            <w:vAlign w:val="center"/>
          </w:tcPr>
          <w:p w14:paraId="0757AE70">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蟠龙新区生活垃圾收集转运系统项目</w:t>
            </w:r>
          </w:p>
        </w:tc>
        <w:tc>
          <w:tcPr>
            <w:tcW w:w="2040" w:type="pct"/>
            <w:shd w:val="clear" w:color="auto" w:fill="auto"/>
            <w:vAlign w:val="center"/>
          </w:tcPr>
          <w:p w14:paraId="2BB8D4AF">
            <w:pPr>
              <w:adjustRightInd w:val="0"/>
              <w:snapToGrid w:val="0"/>
              <w:rPr>
                <w:rFonts w:ascii="仿宋_GB2312" w:hAnsi="宋体" w:eastAsia="仿宋_GB2312" w:cs="宋体"/>
                <w:kern w:val="0"/>
                <w:sz w:val="20"/>
                <w:szCs w:val="20"/>
              </w:rPr>
            </w:pPr>
            <w:r>
              <w:rPr>
                <w:rFonts w:hint="eastAsia" w:ascii="仿宋_GB2312" w:hAnsi="宋体" w:eastAsia="仿宋_GB2312" w:cs="宋体"/>
                <w:kern w:val="0"/>
                <w:sz w:val="20"/>
                <w:szCs w:val="20"/>
              </w:rPr>
              <w:t>建设垃圾压缩及转运站1个，配套建设管理用房、公共厕所、环卫工人休息室、设备用房、垃圾屋35座、购置垃圾运输车、垃圾收集车、压缩设备、车辆冲洗设备等，配套建设给排水、电气、围墙、场地硬化及绿化工程</w:t>
            </w:r>
          </w:p>
        </w:tc>
        <w:tc>
          <w:tcPr>
            <w:tcW w:w="460" w:type="pct"/>
            <w:shd w:val="clear" w:color="auto" w:fill="auto"/>
            <w:vAlign w:val="center"/>
          </w:tcPr>
          <w:p w14:paraId="67296C29">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p>
        </w:tc>
        <w:tc>
          <w:tcPr>
            <w:tcW w:w="374" w:type="pct"/>
            <w:shd w:val="clear" w:color="auto" w:fill="auto"/>
            <w:vAlign w:val="center"/>
          </w:tcPr>
          <w:p w14:paraId="185BB4CF">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2021-2025</w:t>
            </w:r>
          </w:p>
        </w:tc>
        <w:tc>
          <w:tcPr>
            <w:tcW w:w="321" w:type="pct"/>
            <w:shd w:val="clear" w:color="auto" w:fill="auto"/>
            <w:vAlign w:val="center"/>
          </w:tcPr>
          <w:p w14:paraId="2F28A83E">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77" w:type="pct"/>
            <w:shd w:val="clear" w:color="auto" w:fill="auto"/>
            <w:vAlign w:val="center"/>
          </w:tcPr>
          <w:p w14:paraId="5B89CDB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1.5</w:t>
            </w:r>
          </w:p>
        </w:tc>
        <w:tc>
          <w:tcPr>
            <w:tcW w:w="319" w:type="pct"/>
            <w:shd w:val="clear" w:color="auto" w:fill="auto"/>
            <w:vAlign w:val="center"/>
          </w:tcPr>
          <w:p w14:paraId="01C8B78B">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地方自筹</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中省补助</w:t>
            </w:r>
          </w:p>
        </w:tc>
        <w:tc>
          <w:tcPr>
            <w:tcW w:w="392" w:type="pct"/>
            <w:shd w:val="clear" w:color="auto" w:fill="auto"/>
            <w:vAlign w:val="center"/>
          </w:tcPr>
          <w:p w14:paraId="00B48573">
            <w:pPr>
              <w:adjustRightInd w:val="0"/>
              <w:snapToGrid w:val="0"/>
              <w:jc w:val="center"/>
              <w:rPr>
                <w:rFonts w:ascii="仿宋_GB2312" w:hAnsi="宋体" w:eastAsia="仿宋_GB2312" w:cs="宋体"/>
                <w:kern w:val="0"/>
                <w:sz w:val="20"/>
                <w:szCs w:val="20"/>
              </w:rPr>
            </w:pPr>
            <w:r>
              <w:rPr>
                <w:rFonts w:hint="eastAsia" w:ascii="仿宋_GB2312" w:hAnsi="宋体" w:eastAsia="仿宋_GB2312" w:cs="宋体"/>
                <w:kern w:val="0"/>
                <w:sz w:val="20"/>
                <w:szCs w:val="20"/>
              </w:rPr>
              <w:t>蟠龙新区</w:t>
            </w:r>
            <w:r>
              <w:rPr>
                <w:rFonts w:hint="eastAsia" w:ascii="仿宋_GB2312" w:hAnsi="宋体" w:eastAsia="仿宋_GB2312" w:cs="宋体"/>
                <w:kern w:val="0"/>
                <w:sz w:val="20"/>
                <w:szCs w:val="20"/>
              </w:rPr>
              <w:br w:type="textWrapping"/>
            </w:r>
            <w:r>
              <w:rPr>
                <w:rFonts w:hint="eastAsia" w:ascii="仿宋_GB2312" w:hAnsi="宋体" w:eastAsia="仿宋_GB2312" w:cs="宋体"/>
                <w:kern w:val="0"/>
                <w:sz w:val="20"/>
                <w:szCs w:val="20"/>
              </w:rPr>
              <w:t>管委会</w:t>
            </w:r>
          </w:p>
        </w:tc>
      </w:tr>
    </w:tbl>
    <w:p w14:paraId="45E1AE8D">
      <w:pPr>
        <w:pStyle w:val="8"/>
        <w:ind w:firstLine="0" w:firstLineChars="0"/>
        <w:rPr>
          <w:rFonts w:ascii="Times New Roman" w:hAnsi="Times New Roman"/>
        </w:rPr>
      </w:pPr>
    </w:p>
    <w:sectPr>
      <w:pgSz w:w="16840" w:h="11907" w:orient="landscape"/>
      <w:pgMar w:top="1588" w:right="1077" w:bottom="1474" w:left="1077" w:header="851" w:footer="992"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小标宋">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简体">
    <w:panose1 w:val="02000000000000000000"/>
    <w:charset w:val="86"/>
    <w:family w:val="script"/>
    <w:pitch w:val="default"/>
    <w:sig w:usb0="A00002BF" w:usb1="184F6CFA" w:usb2="00000012" w:usb3="00000000" w:csb0="00040001"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F7108">
    <w:pPr>
      <w:pStyle w:val="18"/>
      <w:spacing w:before="120" w:after="120"/>
      <w:jc w:val="center"/>
    </w:pPr>
  </w:p>
  <w:p w14:paraId="2566A5E0">
    <w:pPr>
      <w:pStyle w:val="18"/>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DF3CC0">
    <w:pPr>
      <w:pStyle w:val="18"/>
      <w:spacing w:before="120" w:after="12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495E05">
    <w:pPr>
      <w:pStyle w:val="18"/>
      <w:spacing w:before="120" w:after="120"/>
      <w:jc w:val="center"/>
    </w:pPr>
    <w:r>
      <w:fldChar w:fldCharType="begin"/>
    </w:r>
    <w:r>
      <w:instrText xml:space="preserve">PAGE   \* MERGEFORMAT</w:instrText>
    </w:r>
    <w:r>
      <w:fldChar w:fldCharType="separate"/>
    </w:r>
    <w:r>
      <w:rPr>
        <w:lang w:val="zh-CN"/>
      </w:rPr>
      <w:t>16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7387BB">
    <w:pPr>
      <w:pStyle w:val="18"/>
      <w:jc w:val="center"/>
    </w:pPr>
    <w:r>
      <w:fldChar w:fldCharType="begin"/>
    </w:r>
    <w:r>
      <w:instrText xml:space="preserve">PAGE   \* MERGEFORMAT</w:instrText>
    </w:r>
    <w:r>
      <w:fldChar w:fldCharType="separate"/>
    </w:r>
    <w:r>
      <w:rPr>
        <w:lang w:val="zh-CN"/>
      </w:rPr>
      <w:t>158</w:t>
    </w:r>
    <w:r>
      <w:rPr>
        <w:lang w:val="zh-CN"/>
      </w:rPr>
      <w:fldChar w:fldCharType="end"/>
    </w:r>
  </w:p>
  <w:p w14:paraId="4670455D">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2">
    <w:p>
      <w:r>
        <w:separator/>
      </w:r>
    </w:p>
  </w:footnote>
  <w:footnote w:type="continuationSeparator" w:id="3">
    <w:p>
      <w:r>
        <w:continuationSeparator/>
      </w:r>
    </w:p>
  </w:footnote>
  <w:footnote w:id="0">
    <w:p w14:paraId="528DFA5F">
      <w:pPr>
        <w:pStyle w:val="22"/>
        <w:widowControl w:val="0"/>
        <w:adjustRightInd w:val="0"/>
      </w:pPr>
      <w:r>
        <w:rPr>
          <w:rStyle w:val="37"/>
        </w:rPr>
        <w:footnoteRef/>
      </w:r>
      <w:r>
        <w:t xml:space="preserve"> </w:t>
      </w:r>
      <w:r>
        <w:rPr>
          <w:rFonts w:hint="eastAsia"/>
        </w:rPr>
        <w:t>四项工程：精神家园工程、民生改善工程、石榴籽工程、能力提升工程。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23796B">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C017E6"/>
    <w:multiLevelType w:val="multilevel"/>
    <w:tmpl w:val="03C017E6"/>
    <w:lvl w:ilvl="0" w:tentative="0">
      <w:start w:val="1"/>
      <w:numFmt w:val="chineseCountingThousand"/>
      <w:suff w:val="nothing"/>
      <w:lvlText w:val="%1、"/>
      <w:lvlJc w:val="left"/>
      <w:pPr>
        <w:ind w:left="4536"/>
      </w:pPr>
      <w:rPr>
        <w:rFonts w:hint="eastAsia" w:cs="Times New Roman"/>
      </w:rPr>
    </w:lvl>
    <w:lvl w:ilvl="1" w:tentative="0">
      <w:start w:val="1"/>
      <w:numFmt w:val="lowerLetter"/>
      <w:lvlText w:val="%2)"/>
      <w:lvlJc w:val="left"/>
      <w:pPr>
        <w:ind w:left="6019" w:hanging="420"/>
      </w:pPr>
      <w:rPr>
        <w:rFonts w:cs="Times New Roman"/>
      </w:rPr>
    </w:lvl>
    <w:lvl w:ilvl="2" w:tentative="0">
      <w:start w:val="1"/>
      <w:numFmt w:val="lowerRoman"/>
      <w:lvlText w:val="%3."/>
      <w:lvlJc w:val="right"/>
      <w:pPr>
        <w:ind w:left="6439" w:hanging="420"/>
      </w:pPr>
      <w:rPr>
        <w:rFonts w:cs="Times New Roman"/>
      </w:rPr>
    </w:lvl>
    <w:lvl w:ilvl="3" w:tentative="0">
      <w:start w:val="1"/>
      <w:numFmt w:val="decimal"/>
      <w:lvlText w:val="%4."/>
      <w:lvlJc w:val="left"/>
      <w:pPr>
        <w:ind w:left="6859" w:hanging="420"/>
      </w:pPr>
      <w:rPr>
        <w:rFonts w:cs="Times New Roman"/>
      </w:rPr>
    </w:lvl>
    <w:lvl w:ilvl="4" w:tentative="0">
      <w:start w:val="1"/>
      <w:numFmt w:val="lowerLetter"/>
      <w:lvlText w:val="%5)"/>
      <w:lvlJc w:val="left"/>
      <w:pPr>
        <w:ind w:left="7279" w:hanging="420"/>
      </w:pPr>
      <w:rPr>
        <w:rFonts w:cs="Times New Roman"/>
      </w:rPr>
    </w:lvl>
    <w:lvl w:ilvl="5" w:tentative="0">
      <w:start w:val="1"/>
      <w:numFmt w:val="lowerRoman"/>
      <w:lvlText w:val="%6."/>
      <w:lvlJc w:val="right"/>
      <w:pPr>
        <w:ind w:left="7699" w:hanging="420"/>
      </w:pPr>
      <w:rPr>
        <w:rFonts w:cs="Times New Roman"/>
      </w:rPr>
    </w:lvl>
    <w:lvl w:ilvl="6" w:tentative="0">
      <w:start w:val="1"/>
      <w:numFmt w:val="decimal"/>
      <w:lvlText w:val="%7."/>
      <w:lvlJc w:val="left"/>
      <w:pPr>
        <w:ind w:left="8119" w:hanging="420"/>
      </w:pPr>
      <w:rPr>
        <w:rFonts w:cs="Times New Roman"/>
      </w:rPr>
    </w:lvl>
    <w:lvl w:ilvl="7" w:tentative="0">
      <w:start w:val="1"/>
      <w:numFmt w:val="lowerLetter"/>
      <w:lvlText w:val="%8)"/>
      <w:lvlJc w:val="left"/>
      <w:pPr>
        <w:ind w:left="8539" w:hanging="420"/>
      </w:pPr>
      <w:rPr>
        <w:rFonts w:cs="Times New Roman"/>
      </w:rPr>
    </w:lvl>
    <w:lvl w:ilvl="8" w:tentative="0">
      <w:start w:val="1"/>
      <w:numFmt w:val="lowerRoman"/>
      <w:lvlText w:val="%9."/>
      <w:lvlJc w:val="right"/>
      <w:pPr>
        <w:ind w:left="8959" w:hanging="420"/>
      </w:pPr>
      <w:rPr>
        <w:rFonts w:cs="Times New Roman"/>
      </w:rPr>
    </w:lvl>
  </w:abstractNum>
  <w:abstractNum w:abstractNumId="1">
    <w:nsid w:val="06D96918"/>
    <w:multiLevelType w:val="multilevel"/>
    <w:tmpl w:val="06D969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
    <w:nsid w:val="095948DA"/>
    <w:multiLevelType w:val="multilevel"/>
    <w:tmpl w:val="095948D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
    <w:nsid w:val="0BE50568"/>
    <w:multiLevelType w:val="multilevel"/>
    <w:tmpl w:val="0BE5056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
    <w:nsid w:val="0C7F1E52"/>
    <w:multiLevelType w:val="multilevel"/>
    <w:tmpl w:val="0C7F1E5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5">
    <w:nsid w:val="0FBC5649"/>
    <w:multiLevelType w:val="multilevel"/>
    <w:tmpl w:val="0FBC5649"/>
    <w:lvl w:ilvl="0" w:tentative="0">
      <w:start w:val="1"/>
      <w:numFmt w:val="japaneseCounting"/>
      <w:lvlText w:val="第%1章"/>
      <w:lvlJc w:val="left"/>
      <w:pPr>
        <w:ind w:left="1275" w:hanging="1275"/>
      </w:pPr>
      <w:rPr>
        <w:rFonts w:hint="default"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6">
    <w:nsid w:val="130721F8"/>
    <w:multiLevelType w:val="multilevel"/>
    <w:tmpl w:val="130721F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7">
    <w:nsid w:val="13804089"/>
    <w:multiLevelType w:val="multilevel"/>
    <w:tmpl w:val="13804089"/>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8">
    <w:nsid w:val="1B6D5F7F"/>
    <w:multiLevelType w:val="multilevel"/>
    <w:tmpl w:val="1B6D5F7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9">
    <w:nsid w:val="1BF2577B"/>
    <w:multiLevelType w:val="multilevel"/>
    <w:tmpl w:val="1BF2577B"/>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0">
    <w:nsid w:val="2135339D"/>
    <w:multiLevelType w:val="multilevel"/>
    <w:tmpl w:val="2135339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1">
    <w:nsid w:val="23B5095F"/>
    <w:multiLevelType w:val="multilevel"/>
    <w:tmpl w:val="23B5095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2">
    <w:nsid w:val="269719FD"/>
    <w:multiLevelType w:val="multilevel"/>
    <w:tmpl w:val="269719FD"/>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3">
    <w:nsid w:val="277857D5"/>
    <w:multiLevelType w:val="multilevel"/>
    <w:tmpl w:val="277857D5"/>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4">
    <w:nsid w:val="286617FA"/>
    <w:multiLevelType w:val="multilevel"/>
    <w:tmpl w:val="286617F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5">
    <w:nsid w:val="295303AA"/>
    <w:multiLevelType w:val="multilevel"/>
    <w:tmpl w:val="295303A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6">
    <w:nsid w:val="296365DC"/>
    <w:multiLevelType w:val="multilevel"/>
    <w:tmpl w:val="296365DC"/>
    <w:lvl w:ilvl="0" w:tentative="0">
      <w:start w:val="1"/>
      <w:numFmt w:val="chineseCountingThousand"/>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7">
    <w:nsid w:val="2A820403"/>
    <w:multiLevelType w:val="multilevel"/>
    <w:tmpl w:val="2A820403"/>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8">
    <w:nsid w:val="2B127F2B"/>
    <w:multiLevelType w:val="multilevel"/>
    <w:tmpl w:val="2B127F2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19">
    <w:nsid w:val="30834851"/>
    <w:multiLevelType w:val="multilevel"/>
    <w:tmpl w:val="3083485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0">
    <w:nsid w:val="36C273BA"/>
    <w:multiLevelType w:val="multilevel"/>
    <w:tmpl w:val="36C273B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1">
    <w:nsid w:val="372F56E9"/>
    <w:multiLevelType w:val="multilevel"/>
    <w:tmpl w:val="372F5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2">
    <w:nsid w:val="3C764ADE"/>
    <w:multiLevelType w:val="multilevel"/>
    <w:tmpl w:val="3C764ADE"/>
    <w:lvl w:ilvl="0" w:tentative="0">
      <w:start w:val="1"/>
      <w:numFmt w:val="japaneseCounting"/>
      <w:lvlText w:val="%1、"/>
      <w:lvlJc w:val="left"/>
      <w:pPr>
        <w:ind w:left="2083" w:hanging="720"/>
      </w:pPr>
      <w:rPr>
        <w:rFonts w:hint="default" w:cs="Times New Roman"/>
      </w:rPr>
    </w:lvl>
    <w:lvl w:ilvl="1" w:tentative="0">
      <w:start w:val="1"/>
      <w:numFmt w:val="lowerLetter"/>
      <w:lvlText w:val="%2)"/>
      <w:lvlJc w:val="left"/>
      <w:pPr>
        <w:ind w:left="2203" w:hanging="420"/>
      </w:pPr>
      <w:rPr>
        <w:rFonts w:cs="Times New Roman"/>
      </w:rPr>
    </w:lvl>
    <w:lvl w:ilvl="2" w:tentative="0">
      <w:start w:val="1"/>
      <w:numFmt w:val="lowerRoman"/>
      <w:lvlText w:val="%3."/>
      <w:lvlJc w:val="right"/>
      <w:pPr>
        <w:ind w:left="2623" w:hanging="420"/>
      </w:pPr>
      <w:rPr>
        <w:rFonts w:cs="Times New Roman"/>
      </w:rPr>
    </w:lvl>
    <w:lvl w:ilvl="3" w:tentative="0">
      <w:start w:val="1"/>
      <w:numFmt w:val="decimal"/>
      <w:lvlText w:val="%4."/>
      <w:lvlJc w:val="left"/>
      <w:pPr>
        <w:ind w:left="3043" w:hanging="420"/>
      </w:pPr>
      <w:rPr>
        <w:rFonts w:cs="Times New Roman"/>
      </w:rPr>
    </w:lvl>
    <w:lvl w:ilvl="4" w:tentative="0">
      <w:start w:val="1"/>
      <w:numFmt w:val="lowerLetter"/>
      <w:lvlText w:val="%5)"/>
      <w:lvlJc w:val="left"/>
      <w:pPr>
        <w:ind w:left="3463" w:hanging="420"/>
      </w:pPr>
      <w:rPr>
        <w:rFonts w:cs="Times New Roman"/>
      </w:rPr>
    </w:lvl>
    <w:lvl w:ilvl="5" w:tentative="0">
      <w:start w:val="1"/>
      <w:numFmt w:val="lowerRoman"/>
      <w:lvlText w:val="%6."/>
      <w:lvlJc w:val="right"/>
      <w:pPr>
        <w:ind w:left="3883" w:hanging="420"/>
      </w:pPr>
      <w:rPr>
        <w:rFonts w:cs="Times New Roman"/>
      </w:rPr>
    </w:lvl>
    <w:lvl w:ilvl="6" w:tentative="0">
      <w:start w:val="1"/>
      <w:numFmt w:val="decimal"/>
      <w:lvlText w:val="%7."/>
      <w:lvlJc w:val="left"/>
      <w:pPr>
        <w:ind w:left="4303" w:hanging="420"/>
      </w:pPr>
      <w:rPr>
        <w:rFonts w:cs="Times New Roman"/>
      </w:rPr>
    </w:lvl>
    <w:lvl w:ilvl="7" w:tentative="0">
      <w:start w:val="1"/>
      <w:numFmt w:val="lowerLetter"/>
      <w:lvlText w:val="%8)"/>
      <w:lvlJc w:val="left"/>
      <w:pPr>
        <w:ind w:left="4723" w:hanging="420"/>
      </w:pPr>
      <w:rPr>
        <w:rFonts w:cs="Times New Roman"/>
      </w:rPr>
    </w:lvl>
    <w:lvl w:ilvl="8" w:tentative="0">
      <w:start w:val="1"/>
      <w:numFmt w:val="lowerRoman"/>
      <w:lvlText w:val="%9."/>
      <w:lvlJc w:val="right"/>
      <w:pPr>
        <w:ind w:left="5143" w:hanging="420"/>
      </w:pPr>
      <w:rPr>
        <w:rFonts w:cs="Times New Roman"/>
      </w:rPr>
    </w:lvl>
  </w:abstractNum>
  <w:abstractNum w:abstractNumId="23">
    <w:nsid w:val="3CB80D1D"/>
    <w:multiLevelType w:val="multilevel"/>
    <w:tmpl w:val="3CB80D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4">
    <w:nsid w:val="43781205"/>
    <w:multiLevelType w:val="multilevel"/>
    <w:tmpl w:val="43781205"/>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5">
    <w:nsid w:val="451A4003"/>
    <w:multiLevelType w:val="multilevel"/>
    <w:tmpl w:val="451A4003"/>
    <w:lvl w:ilvl="0" w:tentative="0">
      <w:start w:val="1"/>
      <w:numFmt w:val="chineseCountingThousand"/>
      <w:suff w:val="nothing"/>
      <w:lvlText w:val="%1、"/>
      <w:lvlJc w:val="left"/>
      <w:rPr>
        <w:rFonts w:hint="eastAsia" w:cs="Times New Roman"/>
        <w:color w:val="0D0D0D"/>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6">
    <w:nsid w:val="45905C74"/>
    <w:multiLevelType w:val="multilevel"/>
    <w:tmpl w:val="45905C74"/>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7">
    <w:nsid w:val="4A346A2F"/>
    <w:multiLevelType w:val="multilevel"/>
    <w:tmpl w:val="4A346A2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8">
    <w:nsid w:val="4C330CBB"/>
    <w:multiLevelType w:val="multilevel"/>
    <w:tmpl w:val="4C330CBB"/>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29">
    <w:nsid w:val="51C068C6"/>
    <w:multiLevelType w:val="multilevel"/>
    <w:tmpl w:val="51C068C6"/>
    <w:lvl w:ilvl="0" w:tentative="0">
      <w:start w:val="1"/>
      <w:numFmt w:val="japaneseCounting"/>
      <w:lvlText w:val="%1、"/>
      <w:lvlJc w:val="left"/>
      <w:pPr>
        <w:ind w:left="1363" w:hanging="720"/>
      </w:pPr>
      <w:rPr>
        <w:rFonts w:hint="default"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0">
    <w:nsid w:val="53727527"/>
    <w:multiLevelType w:val="multilevel"/>
    <w:tmpl w:val="53727527"/>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1">
    <w:nsid w:val="53B346E9"/>
    <w:multiLevelType w:val="multilevel"/>
    <w:tmpl w:val="53B346E9"/>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2">
    <w:nsid w:val="57E370EF"/>
    <w:multiLevelType w:val="multilevel"/>
    <w:tmpl w:val="57E370EF"/>
    <w:lvl w:ilvl="0" w:tentative="0">
      <w:start w:val="1"/>
      <w:numFmt w:val="japaneseCounting"/>
      <w:lvlText w:val="%1、"/>
      <w:lvlJc w:val="left"/>
      <w:pPr>
        <w:ind w:left="1363" w:hanging="720"/>
      </w:pPr>
      <w:rPr>
        <w:rFonts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3">
    <w:nsid w:val="5826004F"/>
    <w:multiLevelType w:val="multilevel"/>
    <w:tmpl w:val="5826004F"/>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4">
    <w:nsid w:val="5C6F583A"/>
    <w:multiLevelType w:val="multilevel"/>
    <w:tmpl w:val="5C6F58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5">
    <w:nsid w:val="5F3D7E30"/>
    <w:multiLevelType w:val="multilevel"/>
    <w:tmpl w:val="5F3D7E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6">
    <w:nsid w:val="613331FD"/>
    <w:multiLevelType w:val="multilevel"/>
    <w:tmpl w:val="613331F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7">
    <w:nsid w:val="69BD3C30"/>
    <w:multiLevelType w:val="multilevel"/>
    <w:tmpl w:val="69BD3C30"/>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8">
    <w:nsid w:val="6B6966E1"/>
    <w:multiLevelType w:val="multilevel"/>
    <w:tmpl w:val="6B6966E1"/>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39">
    <w:nsid w:val="725F7EC2"/>
    <w:multiLevelType w:val="multilevel"/>
    <w:tmpl w:val="725F7EC2"/>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0">
    <w:nsid w:val="73E60B18"/>
    <w:multiLevelType w:val="multilevel"/>
    <w:tmpl w:val="73E60B18"/>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1">
    <w:nsid w:val="7A3F251D"/>
    <w:multiLevelType w:val="multilevel"/>
    <w:tmpl w:val="7A3F251D"/>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2">
    <w:nsid w:val="7BEF498C"/>
    <w:multiLevelType w:val="multilevel"/>
    <w:tmpl w:val="7BEF498C"/>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abstractNum w:abstractNumId="43">
    <w:nsid w:val="7D8D693A"/>
    <w:multiLevelType w:val="multilevel"/>
    <w:tmpl w:val="7D8D693A"/>
    <w:lvl w:ilvl="0" w:tentative="0">
      <w:start w:val="1"/>
      <w:numFmt w:val="chineseCountingThousand"/>
      <w:suff w:val="nothing"/>
      <w:lvlText w:val="%1、"/>
      <w:lvlJc w:val="left"/>
      <w:rPr>
        <w:rFonts w:hint="eastAsia" w:cs="Times New Roman"/>
      </w:rPr>
    </w:lvl>
    <w:lvl w:ilvl="1" w:tentative="0">
      <w:start w:val="1"/>
      <w:numFmt w:val="lowerLetter"/>
      <w:lvlText w:val="%2)"/>
      <w:lvlJc w:val="left"/>
      <w:pPr>
        <w:ind w:left="1483" w:hanging="420"/>
      </w:pPr>
      <w:rPr>
        <w:rFonts w:cs="Times New Roman"/>
      </w:rPr>
    </w:lvl>
    <w:lvl w:ilvl="2" w:tentative="0">
      <w:start w:val="1"/>
      <w:numFmt w:val="lowerRoman"/>
      <w:lvlText w:val="%3."/>
      <w:lvlJc w:val="right"/>
      <w:pPr>
        <w:ind w:left="1903" w:hanging="420"/>
      </w:pPr>
      <w:rPr>
        <w:rFonts w:cs="Times New Roman"/>
      </w:rPr>
    </w:lvl>
    <w:lvl w:ilvl="3" w:tentative="0">
      <w:start w:val="1"/>
      <w:numFmt w:val="decimal"/>
      <w:lvlText w:val="%4."/>
      <w:lvlJc w:val="left"/>
      <w:pPr>
        <w:ind w:left="2323" w:hanging="420"/>
      </w:pPr>
      <w:rPr>
        <w:rFonts w:cs="Times New Roman"/>
      </w:rPr>
    </w:lvl>
    <w:lvl w:ilvl="4" w:tentative="0">
      <w:start w:val="1"/>
      <w:numFmt w:val="lowerLetter"/>
      <w:lvlText w:val="%5)"/>
      <w:lvlJc w:val="left"/>
      <w:pPr>
        <w:ind w:left="2743" w:hanging="420"/>
      </w:pPr>
      <w:rPr>
        <w:rFonts w:cs="Times New Roman"/>
      </w:rPr>
    </w:lvl>
    <w:lvl w:ilvl="5" w:tentative="0">
      <w:start w:val="1"/>
      <w:numFmt w:val="lowerRoman"/>
      <w:lvlText w:val="%6."/>
      <w:lvlJc w:val="right"/>
      <w:pPr>
        <w:ind w:left="3163" w:hanging="420"/>
      </w:pPr>
      <w:rPr>
        <w:rFonts w:cs="Times New Roman"/>
      </w:rPr>
    </w:lvl>
    <w:lvl w:ilvl="6" w:tentative="0">
      <w:start w:val="1"/>
      <w:numFmt w:val="decimal"/>
      <w:lvlText w:val="%7."/>
      <w:lvlJc w:val="left"/>
      <w:pPr>
        <w:ind w:left="3583" w:hanging="420"/>
      </w:pPr>
      <w:rPr>
        <w:rFonts w:cs="Times New Roman"/>
      </w:rPr>
    </w:lvl>
    <w:lvl w:ilvl="7" w:tentative="0">
      <w:start w:val="1"/>
      <w:numFmt w:val="lowerLetter"/>
      <w:lvlText w:val="%8)"/>
      <w:lvlJc w:val="left"/>
      <w:pPr>
        <w:ind w:left="4003" w:hanging="420"/>
      </w:pPr>
      <w:rPr>
        <w:rFonts w:cs="Times New Roman"/>
      </w:rPr>
    </w:lvl>
    <w:lvl w:ilvl="8" w:tentative="0">
      <w:start w:val="1"/>
      <w:numFmt w:val="lowerRoman"/>
      <w:lvlText w:val="%9."/>
      <w:lvlJc w:val="right"/>
      <w:pPr>
        <w:ind w:left="4423" w:hanging="420"/>
      </w:pPr>
      <w:rPr>
        <w:rFonts w:cs="Times New Roman"/>
      </w:rPr>
    </w:lvl>
  </w:abstractNum>
  <w:num w:numId="1">
    <w:abstractNumId w:val="5"/>
  </w:num>
  <w:num w:numId="2">
    <w:abstractNumId w:val="37"/>
  </w:num>
  <w:num w:numId="3">
    <w:abstractNumId w:val="36"/>
  </w:num>
  <w:num w:numId="4">
    <w:abstractNumId w:val="26"/>
  </w:num>
  <w:num w:numId="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9"/>
  </w:num>
  <w:num w:numId="9">
    <w:abstractNumId w:val="1"/>
  </w:num>
  <w:num w:numId="10">
    <w:abstractNumId w:val="6"/>
  </w:num>
  <w:num w:numId="11">
    <w:abstractNumId w:val="18"/>
  </w:num>
  <w:num w:numId="12">
    <w:abstractNumId w:val="10"/>
  </w:num>
  <w:num w:numId="13">
    <w:abstractNumId w:val="11"/>
  </w:num>
  <w:num w:numId="14">
    <w:abstractNumId w:val="34"/>
  </w:num>
  <w:num w:numId="15">
    <w:abstractNumId w:val="39"/>
  </w:num>
  <w:num w:numId="16">
    <w:abstractNumId w:val="33"/>
  </w:num>
  <w:num w:numId="17">
    <w:abstractNumId w:val="15"/>
  </w:num>
  <w:num w:numId="18">
    <w:abstractNumId w:val="41"/>
  </w:num>
  <w:num w:numId="19">
    <w:abstractNumId w:val="30"/>
  </w:num>
  <w:num w:numId="20">
    <w:abstractNumId w:val="25"/>
  </w:num>
  <w:num w:numId="21">
    <w:abstractNumId w:val="12"/>
  </w:num>
  <w:num w:numId="22">
    <w:abstractNumId w:val="13"/>
  </w:num>
  <w:num w:numId="23">
    <w:abstractNumId w:val="24"/>
  </w:num>
  <w:num w:numId="24">
    <w:abstractNumId w:val="3"/>
  </w:num>
  <w:num w:numId="25">
    <w:abstractNumId w:val="20"/>
  </w:num>
  <w:num w:numId="26">
    <w:abstractNumId w:val="35"/>
  </w:num>
  <w:num w:numId="27">
    <w:abstractNumId w:val="32"/>
  </w:num>
  <w:num w:numId="28">
    <w:abstractNumId w:val="43"/>
  </w:num>
  <w:num w:numId="29">
    <w:abstractNumId w:val="27"/>
  </w:num>
  <w:num w:numId="30">
    <w:abstractNumId w:val="17"/>
  </w:num>
  <w:num w:numId="31">
    <w:abstractNumId w:val="14"/>
  </w:num>
  <w:num w:numId="32">
    <w:abstractNumId w:val="2"/>
  </w:num>
  <w:num w:numId="33">
    <w:abstractNumId w:val="8"/>
  </w:num>
  <w:num w:numId="34">
    <w:abstractNumId w:val="21"/>
  </w:num>
  <w:num w:numId="35">
    <w:abstractNumId w:val="42"/>
  </w:num>
  <w:num w:numId="36">
    <w:abstractNumId w:val="29"/>
  </w:num>
  <w:num w:numId="37">
    <w:abstractNumId w:val="16"/>
  </w:num>
  <w:num w:numId="38">
    <w:abstractNumId w:val="23"/>
  </w:num>
  <w:num w:numId="39">
    <w:abstractNumId w:val="38"/>
  </w:num>
  <w:num w:numId="40">
    <w:abstractNumId w:val="31"/>
  </w:num>
  <w:num w:numId="41">
    <w:abstractNumId w:val="4"/>
  </w:num>
  <w:num w:numId="42">
    <w:abstractNumId w:val="28"/>
  </w:num>
  <w:num w:numId="43">
    <w:abstractNumId w:val="0"/>
  </w:num>
  <w:num w:numId="4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HorizontalSpacing w:val="105"/>
  <w:drawingGridVerticalSpacing w:val="156"/>
  <w:noPunctuationKerning w:val="1"/>
  <w:characterSpacingControl w:val="compressPunctuation"/>
  <w:noLineBreaksAfter w:lang="zh-CN" w:val="$([{£¥·‘“〈《「『【〔〖〝﹙﹛﹝＄（．［｛￡￥"/>
  <w:noLineBreaksBefore w:lang="zh-CN" w:val="!%),.:;&gt;?]}¢¨°·ˇˉ―‖’”…‰′″›℃∶、。〃〉》」』】〕〗〞︶︺︾﹀﹄﹚﹜﹞！＂％＇），．：；？］｀｜｝～￠"/>
  <w:footnotePr>
    <w:footnote w:id="2"/>
    <w:footnote w:id="3"/>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hhMDdiYjU5Nzk0ZDQwYjc1MDQxODZjOWQzYjVkNTEifQ=="/>
  </w:docVars>
  <w:rsids>
    <w:rsidRoot w:val="00B36B08"/>
    <w:rsid w:val="000001CA"/>
    <w:rsid w:val="0000099A"/>
    <w:rsid w:val="00001018"/>
    <w:rsid w:val="00001525"/>
    <w:rsid w:val="00002A06"/>
    <w:rsid w:val="00002D76"/>
    <w:rsid w:val="00002DD8"/>
    <w:rsid w:val="00003240"/>
    <w:rsid w:val="00003C31"/>
    <w:rsid w:val="00004136"/>
    <w:rsid w:val="000045ED"/>
    <w:rsid w:val="000047D9"/>
    <w:rsid w:val="000049D3"/>
    <w:rsid w:val="00004F6B"/>
    <w:rsid w:val="000051C8"/>
    <w:rsid w:val="0000540F"/>
    <w:rsid w:val="000064B9"/>
    <w:rsid w:val="00006836"/>
    <w:rsid w:val="000077CC"/>
    <w:rsid w:val="000077D9"/>
    <w:rsid w:val="00007FC3"/>
    <w:rsid w:val="000104CA"/>
    <w:rsid w:val="000105E1"/>
    <w:rsid w:val="00010EEC"/>
    <w:rsid w:val="00011384"/>
    <w:rsid w:val="000118D3"/>
    <w:rsid w:val="00011950"/>
    <w:rsid w:val="00011BF3"/>
    <w:rsid w:val="00011C32"/>
    <w:rsid w:val="00012412"/>
    <w:rsid w:val="0001264E"/>
    <w:rsid w:val="00012B92"/>
    <w:rsid w:val="00012E2E"/>
    <w:rsid w:val="00012F7B"/>
    <w:rsid w:val="0001320D"/>
    <w:rsid w:val="0001377C"/>
    <w:rsid w:val="00013E1D"/>
    <w:rsid w:val="00014681"/>
    <w:rsid w:val="00014781"/>
    <w:rsid w:val="00014FE4"/>
    <w:rsid w:val="000153CD"/>
    <w:rsid w:val="0001588D"/>
    <w:rsid w:val="000158EF"/>
    <w:rsid w:val="00015DCB"/>
    <w:rsid w:val="00015F3B"/>
    <w:rsid w:val="00016467"/>
    <w:rsid w:val="0001649A"/>
    <w:rsid w:val="0001693E"/>
    <w:rsid w:val="00016A99"/>
    <w:rsid w:val="00016F31"/>
    <w:rsid w:val="00016F63"/>
    <w:rsid w:val="000175A3"/>
    <w:rsid w:val="000177E8"/>
    <w:rsid w:val="000205F1"/>
    <w:rsid w:val="0002128C"/>
    <w:rsid w:val="00021D19"/>
    <w:rsid w:val="00022043"/>
    <w:rsid w:val="00022E0E"/>
    <w:rsid w:val="00023651"/>
    <w:rsid w:val="0002376B"/>
    <w:rsid w:val="00023A9F"/>
    <w:rsid w:val="00024082"/>
    <w:rsid w:val="00024300"/>
    <w:rsid w:val="000243F6"/>
    <w:rsid w:val="0002441F"/>
    <w:rsid w:val="00024427"/>
    <w:rsid w:val="000244CF"/>
    <w:rsid w:val="00024AE3"/>
    <w:rsid w:val="00024BE7"/>
    <w:rsid w:val="00024C5C"/>
    <w:rsid w:val="00025B2F"/>
    <w:rsid w:val="00025C9E"/>
    <w:rsid w:val="000260C3"/>
    <w:rsid w:val="00026334"/>
    <w:rsid w:val="000264A9"/>
    <w:rsid w:val="00026723"/>
    <w:rsid w:val="00026A9E"/>
    <w:rsid w:val="00026B8B"/>
    <w:rsid w:val="00026DAD"/>
    <w:rsid w:val="00027769"/>
    <w:rsid w:val="0003018A"/>
    <w:rsid w:val="00030337"/>
    <w:rsid w:val="00030D93"/>
    <w:rsid w:val="00031154"/>
    <w:rsid w:val="000314FD"/>
    <w:rsid w:val="000315F5"/>
    <w:rsid w:val="00032AE7"/>
    <w:rsid w:val="0003348B"/>
    <w:rsid w:val="00033A75"/>
    <w:rsid w:val="00033FE6"/>
    <w:rsid w:val="0003474D"/>
    <w:rsid w:val="0003575B"/>
    <w:rsid w:val="000358E5"/>
    <w:rsid w:val="00035A1A"/>
    <w:rsid w:val="00036BA3"/>
    <w:rsid w:val="00036CF6"/>
    <w:rsid w:val="0003732B"/>
    <w:rsid w:val="00037A04"/>
    <w:rsid w:val="00040C2F"/>
    <w:rsid w:val="000412D2"/>
    <w:rsid w:val="0004180C"/>
    <w:rsid w:val="000418E0"/>
    <w:rsid w:val="000424ED"/>
    <w:rsid w:val="00042B15"/>
    <w:rsid w:val="00043907"/>
    <w:rsid w:val="00044BE4"/>
    <w:rsid w:val="0004699F"/>
    <w:rsid w:val="00046C9B"/>
    <w:rsid w:val="00046D8E"/>
    <w:rsid w:val="00046DCB"/>
    <w:rsid w:val="000471ED"/>
    <w:rsid w:val="00047ED9"/>
    <w:rsid w:val="00051285"/>
    <w:rsid w:val="000512DF"/>
    <w:rsid w:val="0005132E"/>
    <w:rsid w:val="00051A80"/>
    <w:rsid w:val="00051CFE"/>
    <w:rsid w:val="00051D2E"/>
    <w:rsid w:val="0005222D"/>
    <w:rsid w:val="0005288F"/>
    <w:rsid w:val="000534B7"/>
    <w:rsid w:val="000543FF"/>
    <w:rsid w:val="0005443F"/>
    <w:rsid w:val="00054777"/>
    <w:rsid w:val="00055742"/>
    <w:rsid w:val="00055F0E"/>
    <w:rsid w:val="000560BC"/>
    <w:rsid w:val="00056694"/>
    <w:rsid w:val="00056A7F"/>
    <w:rsid w:val="00057317"/>
    <w:rsid w:val="00057845"/>
    <w:rsid w:val="00057CFE"/>
    <w:rsid w:val="00057EBD"/>
    <w:rsid w:val="000611D1"/>
    <w:rsid w:val="0006138C"/>
    <w:rsid w:val="00061433"/>
    <w:rsid w:val="000616E4"/>
    <w:rsid w:val="00062744"/>
    <w:rsid w:val="000629F7"/>
    <w:rsid w:val="00062AB9"/>
    <w:rsid w:val="00062F64"/>
    <w:rsid w:val="00063672"/>
    <w:rsid w:val="00063918"/>
    <w:rsid w:val="00063B99"/>
    <w:rsid w:val="00064267"/>
    <w:rsid w:val="00064E70"/>
    <w:rsid w:val="000653D0"/>
    <w:rsid w:val="000657D3"/>
    <w:rsid w:val="00065A95"/>
    <w:rsid w:val="00066F53"/>
    <w:rsid w:val="0006721F"/>
    <w:rsid w:val="0006722E"/>
    <w:rsid w:val="00067435"/>
    <w:rsid w:val="000676B8"/>
    <w:rsid w:val="00067CCC"/>
    <w:rsid w:val="00067D12"/>
    <w:rsid w:val="00067FAA"/>
    <w:rsid w:val="0007035D"/>
    <w:rsid w:val="00071042"/>
    <w:rsid w:val="000719D0"/>
    <w:rsid w:val="00071E4A"/>
    <w:rsid w:val="00071E52"/>
    <w:rsid w:val="000720A2"/>
    <w:rsid w:val="000729DE"/>
    <w:rsid w:val="00072DF2"/>
    <w:rsid w:val="000733B8"/>
    <w:rsid w:val="000733FD"/>
    <w:rsid w:val="000739D9"/>
    <w:rsid w:val="00073F29"/>
    <w:rsid w:val="00074754"/>
    <w:rsid w:val="00074845"/>
    <w:rsid w:val="00074877"/>
    <w:rsid w:val="00074AA0"/>
    <w:rsid w:val="00080225"/>
    <w:rsid w:val="00080C6D"/>
    <w:rsid w:val="000816E9"/>
    <w:rsid w:val="00081996"/>
    <w:rsid w:val="00082E6E"/>
    <w:rsid w:val="00083071"/>
    <w:rsid w:val="00083251"/>
    <w:rsid w:val="00083B72"/>
    <w:rsid w:val="00083DB8"/>
    <w:rsid w:val="000847D1"/>
    <w:rsid w:val="000847D4"/>
    <w:rsid w:val="00084E79"/>
    <w:rsid w:val="000850FE"/>
    <w:rsid w:val="0008529F"/>
    <w:rsid w:val="000857F6"/>
    <w:rsid w:val="00085B98"/>
    <w:rsid w:val="000866E2"/>
    <w:rsid w:val="00086B67"/>
    <w:rsid w:val="0008719D"/>
    <w:rsid w:val="00087BBD"/>
    <w:rsid w:val="00087CFB"/>
    <w:rsid w:val="00087F4F"/>
    <w:rsid w:val="000900DE"/>
    <w:rsid w:val="000902B6"/>
    <w:rsid w:val="00090AA9"/>
    <w:rsid w:val="0009165B"/>
    <w:rsid w:val="00091967"/>
    <w:rsid w:val="00092CCE"/>
    <w:rsid w:val="0009308A"/>
    <w:rsid w:val="000932BA"/>
    <w:rsid w:val="000933AE"/>
    <w:rsid w:val="00093E68"/>
    <w:rsid w:val="000947F0"/>
    <w:rsid w:val="000952B5"/>
    <w:rsid w:val="0009541E"/>
    <w:rsid w:val="000956A6"/>
    <w:rsid w:val="00095ED8"/>
    <w:rsid w:val="000964D5"/>
    <w:rsid w:val="000966B9"/>
    <w:rsid w:val="00097415"/>
    <w:rsid w:val="00097DBE"/>
    <w:rsid w:val="000A02CF"/>
    <w:rsid w:val="000A02F6"/>
    <w:rsid w:val="000A0445"/>
    <w:rsid w:val="000A04F6"/>
    <w:rsid w:val="000A05BB"/>
    <w:rsid w:val="000A0717"/>
    <w:rsid w:val="000A083B"/>
    <w:rsid w:val="000A0A9C"/>
    <w:rsid w:val="000A19FD"/>
    <w:rsid w:val="000A3C91"/>
    <w:rsid w:val="000A40BB"/>
    <w:rsid w:val="000A428E"/>
    <w:rsid w:val="000A5079"/>
    <w:rsid w:val="000A5584"/>
    <w:rsid w:val="000A5F42"/>
    <w:rsid w:val="000A61BA"/>
    <w:rsid w:val="000A7158"/>
    <w:rsid w:val="000A72CE"/>
    <w:rsid w:val="000A7465"/>
    <w:rsid w:val="000A7C52"/>
    <w:rsid w:val="000B0362"/>
    <w:rsid w:val="000B1210"/>
    <w:rsid w:val="000B1458"/>
    <w:rsid w:val="000B172D"/>
    <w:rsid w:val="000B1987"/>
    <w:rsid w:val="000B2406"/>
    <w:rsid w:val="000B2660"/>
    <w:rsid w:val="000B2838"/>
    <w:rsid w:val="000B394E"/>
    <w:rsid w:val="000B39BD"/>
    <w:rsid w:val="000B3B87"/>
    <w:rsid w:val="000B3E44"/>
    <w:rsid w:val="000B40F8"/>
    <w:rsid w:val="000B56EB"/>
    <w:rsid w:val="000B5988"/>
    <w:rsid w:val="000B5CB5"/>
    <w:rsid w:val="000B61D2"/>
    <w:rsid w:val="000B6676"/>
    <w:rsid w:val="000B73AB"/>
    <w:rsid w:val="000B73B2"/>
    <w:rsid w:val="000B7451"/>
    <w:rsid w:val="000B761F"/>
    <w:rsid w:val="000B78E5"/>
    <w:rsid w:val="000C030C"/>
    <w:rsid w:val="000C166F"/>
    <w:rsid w:val="000C1DF3"/>
    <w:rsid w:val="000C2127"/>
    <w:rsid w:val="000C313B"/>
    <w:rsid w:val="000C3283"/>
    <w:rsid w:val="000C3B7B"/>
    <w:rsid w:val="000C4280"/>
    <w:rsid w:val="000C4525"/>
    <w:rsid w:val="000C4C56"/>
    <w:rsid w:val="000C50B6"/>
    <w:rsid w:val="000C5127"/>
    <w:rsid w:val="000C52A3"/>
    <w:rsid w:val="000C595D"/>
    <w:rsid w:val="000C5FAC"/>
    <w:rsid w:val="000C7331"/>
    <w:rsid w:val="000C7B61"/>
    <w:rsid w:val="000C7C1D"/>
    <w:rsid w:val="000C7E5E"/>
    <w:rsid w:val="000D0637"/>
    <w:rsid w:val="000D076D"/>
    <w:rsid w:val="000D078A"/>
    <w:rsid w:val="000D07D8"/>
    <w:rsid w:val="000D0C13"/>
    <w:rsid w:val="000D1219"/>
    <w:rsid w:val="000D1B5A"/>
    <w:rsid w:val="000D202A"/>
    <w:rsid w:val="000D2198"/>
    <w:rsid w:val="000D2585"/>
    <w:rsid w:val="000D3461"/>
    <w:rsid w:val="000D35A2"/>
    <w:rsid w:val="000D3FEC"/>
    <w:rsid w:val="000D41B6"/>
    <w:rsid w:val="000D452C"/>
    <w:rsid w:val="000D484A"/>
    <w:rsid w:val="000D519E"/>
    <w:rsid w:val="000D538E"/>
    <w:rsid w:val="000D6385"/>
    <w:rsid w:val="000D6881"/>
    <w:rsid w:val="000D709E"/>
    <w:rsid w:val="000D7AC2"/>
    <w:rsid w:val="000D7B51"/>
    <w:rsid w:val="000D7B6A"/>
    <w:rsid w:val="000D7B81"/>
    <w:rsid w:val="000E0103"/>
    <w:rsid w:val="000E0251"/>
    <w:rsid w:val="000E0362"/>
    <w:rsid w:val="000E0870"/>
    <w:rsid w:val="000E0DDA"/>
    <w:rsid w:val="000E0F03"/>
    <w:rsid w:val="000E16A6"/>
    <w:rsid w:val="000E1F91"/>
    <w:rsid w:val="000E2275"/>
    <w:rsid w:val="000E2278"/>
    <w:rsid w:val="000E2D10"/>
    <w:rsid w:val="000E3026"/>
    <w:rsid w:val="000E3783"/>
    <w:rsid w:val="000E4078"/>
    <w:rsid w:val="000E42BE"/>
    <w:rsid w:val="000E499A"/>
    <w:rsid w:val="000E5204"/>
    <w:rsid w:val="000E57C1"/>
    <w:rsid w:val="000E71E2"/>
    <w:rsid w:val="000E73A7"/>
    <w:rsid w:val="000E7F15"/>
    <w:rsid w:val="000F0442"/>
    <w:rsid w:val="000F0A7A"/>
    <w:rsid w:val="000F1375"/>
    <w:rsid w:val="000F13DB"/>
    <w:rsid w:val="000F1C53"/>
    <w:rsid w:val="000F20FE"/>
    <w:rsid w:val="000F2213"/>
    <w:rsid w:val="000F2267"/>
    <w:rsid w:val="000F22B9"/>
    <w:rsid w:val="000F23E3"/>
    <w:rsid w:val="000F24D8"/>
    <w:rsid w:val="000F25D8"/>
    <w:rsid w:val="000F2FFB"/>
    <w:rsid w:val="000F3329"/>
    <w:rsid w:val="000F3636"/>
    <w:rsid w:val="000F3F49"/>
    <w:rsid w:val="000F4352"/>
    <w:rsid w:val="000F45CC"/>
    <w:rsid w:val="000F482D"/>
    <w:rsid w:val="000F4ED1"/>
    <w:rsid w:val="000F4F1B"/>
    <w:rsid w:val="000F58C6"/>
    <w:rsid w:val="000F5E5F"/>
    <w:rsid w:val="000F617F"/>
    <w:rsid w:val="000F68D2"/>
    <w:rsid w:val="000F6CF8"/>
    <w:rsid w:val="000F7387"/>
    <w:rsid w:val="000F7674"/>
    <w:rsid w:val="000F76A5"/>
    <w:rsid w:val="000F7D86"/>
    <w:rsid w:val="001007EE"/>
    <w:rsid w:val="001016BC"/>
    <w:rsid w:val="00101D5D"/>
    <w:rsid w:val="00101FF3"/>
    <w:rsid w:val="0010255E"/>
    <w:rsid w:val="001027A1"/>
    <w:rsid w:val="00102CEE"/>
    <w:rsid w:val="00103016"/>
    <w:rsid w:val="00103452"/>
    <w:rsid w:val="0010352A"/>
    <w:rsid w:val="00104395"/>
    <w:rsid w:val="00104EEA"/>
    <w:rsid w:val="00105B96"/>
    <w:rsid w:val="00106BC1"/>
    <w:rsid w:val="001073DD"/>
    <w:rsid w:val="001074C7"/>
    <w:rsid w:val="001077D5"/>
    <w:rsid w:val="00107C18"/>
    <w:rsid w:val="00107E0C"/>
    <w:rsid w:val="001102F9"/>
    <w:rsid w:val="00111105"/>
    <w:rsid w:val="00111A4B"/>
    <w:rsid w:val="00111AAE"/>
    <w:rsid w:val="0011240A"/>
    <w:rsid w:val="001125FE"/>
    <w:rsid w:val="00112AA4"/>
    <w:rsid w:val="00112DA1"/>
    <w:rsid w:val="0011372F"/>
    <w:rsid w:val="00113892"/>
    <w:rsid w:val="00113C24"/>
    <w:rsid w:val="00113DC9"/>
    <w:rsid w:val="001142CE"/>
    <w:rsid w:val="001145B2"/>
    <w:rsid w:val="00114785"/>
    <w:rsid w:val="0011547E"/>
    <w:rsid w:val="00115BB7"/>
    <w:rsid w:val="00116200"/>
    <w:rsid w:val="001169B4"/>
    <w:rsid w:val="00116B1F"/>
    <w:rsid w:val="00116BCC"/>
    <w:rsid w:val="00116E44"/>
    <w:rsid w:val="0011712E"/>
    <w:rsid w:val="001179D5"/>
    <w:rsid w:val="00117F65"/>
    <w:rsid w:val="001202CE"/>
    <w:rsid w:val="00120525"/>
    <w:rsid w:val="00121A5A"/>
    <w:rsid w:val="00121E28"/>
    <w:rsid w:val="00122385"/>
    <w:rsid w:val="00122466"/>
    <w:rsid w:val="00122C2D"/>
    <w:rsid w:val="0012313E"/>
    <w:rsid w:val="001237C4"/>
    <w:rsid w:val="00123897"/>
    <w:rsid w:val="00124540"/>
    <w:rsid w:val="00124859"/>
    <w:rsid w:val="001248F9"/>
    <w:rsid w:val="001252C8"/>
    <w:rsid w:val="00125735"/>
    <w:rsid w:val="00125DBB"/>
    <w:rsid w:val="00126328"/>
    <w:rsid w:val="00126805"/>
    <w:rsid w:val="00126DE9"/>
    <w:rsid w:val="00126E5C"/>
    <w:rsid w:val="0012745B"/>
    <w:rsid w:val="001277D5"/>
    <w:rsid w:val="00127B57"/>
    <w:rsid w:val="00127CDB"/>
    <w:rsid w:val="00127F16"/>
    <w:rsid w:val="001308E4"/>
    <w:rsid w:val="00130CAD"/>
    <w:rsid w:val="00130DEA"/>
    <w:rsid w:val="00131063"/>
    <w:rsid w:val="001313BD"/>
    <w:rsid w:val="001316A5"/>
    <w:rsid w:val="0013191B"/>
    <w:rsid w:val="001319A6"/>
    <w:rsid w:val="00133BAC"/>
    <w:rsid w:val="00134BBC"/>
    <w:rsid w:val="00134F13"/>
    <w:rsid w:val="00134F24"/>
    <w:rsid w:val="00135C35"/>
    <w:rsid w:val="00136296"/>
    <w:rsid w:val="00136BB6"/>
    <w:rsid w:val="00136C7B"/>
    <w:rsid w:val="001405B9"/>
    <w:rsid w:val="0014099B"/>
    <w:rsid w:val="001414DA"/>
    <w:rsid w:val="001418D6"/>
    <w:rsid w:val="00141E9A"/>
    <w:rsid w:val="00141F0F"/>
    <w:rsid w:val="0014226D"/>
    <w:rsid w:val="00142293"/>
    <w:rsid w:val="00142ABE"/>
    <w:rsid w:val="00142F42"/>
    <w:rsid w:val="00142FAC"/>
    <w:rsid w:val="00143141"/>
    <w:rsid w:val="001431A9"/>
    <w:rsid w:val="001433C4"/>
    <w:rsid w:val="00144F98"/>
    <w:rsid w:val="0014575D"/>
    <w:rsid w:val="00146294"/>
    <w:rsid w:val="00146BA5"/>
    <w:rsid w:val="001476DE"/>
    <w:rsid w:val="00147AE1"/>
    <w:rsid w:val="00147BD6"/>
    <w:rsid w:val="00150023"/>
    <w:rsid w:val="00150354"/>
    <w:rsid w:val="00150685"/>
    <w:rsid w:val="001507A1"/>
    <w:rsid w:val="001509BE"/>
    <w:rsid w:val="00152544"/>
    <w:rsid w:val="001555A6"/>
    <w:rsid w:val="00155AD7"/>
    <w:rsid w:val="00155D73"/>
    <w:rsid w:val="00155E13"/>
    <w:rsid w:val="00155FB2"/>
    <w:rsid w:val="00155FFA"/>
    <w:rsid w:val="00156136"/>
    <w:rsid w:val="0015641F"/>
    <w:rsid w:val="00156468"/>
    <w:rsid w:val="00156A7F"/>
    <w:rsid w:val="00156F08"/>
    <w:rsid w:val="001570D8"/>
    <w:rsid w:val="001571D7"/>
    <w:rsid w:val="001577BF"/>
    <w:rsid w:val="0015782B"/>
    <w:rsid w:val="001604DE"/>
    <w:rsid w:val="0016064B"/>
    <w:rsid w:val="00160905"/>
    <w:rsid w:val="00161655"/>
    <w:rsid w:val="001616EF"/>
    <w:rsid w:val="00161A05"/>
    <w:rsid w:val="00162314"/>
    <w:rsid w:val="00162A39"/>
    <w:rsid w:val="00162F11"/>
    <w:rsid w:val="00163AFB"/>
    <w:rsid w:val="001649AB"/>
    <w:rsid w:val="00165145"/>
    <w:rsid w:val="00165C5F"/>
    <w:rsid w:val="001668EB"/>
    <w:rsid w:val="00166AB4"/>
    <w:rsid w:val="00167AFA"/>
    <w:rsid w:val="00167AFC"/>
    <w:rsid w:val="00167E82"/>
    <w:rsid w:val="00170018"/>
    <w:rsid w:val="00170478"/>
    <w:rsid w:val="00170942"/>
    <w:rsid w:val="0017103B"/>
    <w:rsid w:val="00171B71"/>
    <w:rsid w:val="0017256D"/>
    <w:rsid w:val="001727D4"/>
    <w:rsid w:val="00172ACD"/>
    <w:rsid w:val="00172B4F"/>
    <w:rsid w:val="00172D5D"/>
    <w:rsid w:val="0017380F"/>
    <w:rsid w:val="00173F29"/>
    <w:rsid w:val="00173F71"/>
    <w:rsid w:val="001740C3"/>
    <w:rsid w:val="00174C57"/>
    <w:rsid w:val="00174D61"/>
    <w:rsid w:val="00174D6D"/>
    <w:rsid w:val="00174D8A"/>
    <w:rsid w:val="001757BF"/>
    <w:rsid w:val="0017636D"/>
    <w:rsid w:val="001778D3"/>
    <w:rsid w:val="001779CA"/>
    <w:rsid w:val="00180B91"/>
    <w:rsid w:val="00181C3E"/>
    <w:rsid w:val="0018294A"/>
    <w:rsid w:val="00182D98"/>
    <w:rsid w:val="0018332A"/>
    <w:rsid w:val="00183C20"/>
    <w:rsid w:val="00184359"/>
    <w:rsid w:val="00184849"/>
    <w:rsid w:val="00184D2D"/>
    <w:rsid w:val="00184D47"/>
    <w:rsid w:val="00186B86"/>
    <w:rsid w:val="00186FDB"/>
    <w:rsid w:val="00187376"/>
    <w:rsid w:val="001910E1"/>
    <w:rsid w:val="001916A8"/>
    <w:rsid w:val="00192927"/>
    <w:rsid w:val="00193CD9"/>
    <w:rsid w:val="00193F32"/>
    <w:rsid w:val="00194139"/>
    <w:rsid w:val="00194711"/>
    <w:rsid w:val="00194811"/>
    <w:rsid w:val="00195031"/>
    <w:rsid w:val="0019510F"/>
    <w:rsid w:val="0019547C"/>
    <w:rsid w:val="00195852"/>
    <w:rsid w:val="00195CF1"/>
    <w:rsid w:val="00195DF9"/>
    <w:rsid w:val="00196276"/>
    <w:rsid w:val="001962E1"/>
    <w:rsid w:val="0019654D"/>
    <w:rsid w:val="001965CC"/>
    <w:rsid w:val="001966D4"/>
    <w:rsid w:val="00196911"/>
    <w:rsid w:val="00196CF0"/>
    <w:rsid w:val="00196D21"/>
    <w:rsid w:val="001977E7"/>
    <w:rsid w:val="00197DB8"/>
    <w:rsid w:val="001A0210"/>
    <w:rsid w:val="001A035A"/>
    <w:rsid w:val="001A136F"/>
    <w:rsid w:val="001A1388"/>
    <w:rsid w:val="001A2004"/>
    <w:rsid w:val="001A2352"/>
    <w:rsid w:val="001A2D15"/>
    <w:rsid w:val="001A49D7"/>
    <w:rsid w:val="001A4C13"/>
    <w:rsid w:val="001A6EE0"/>
    <w:rsid w:val="001A70CC"/>
    <w:rsid w:val="001B00D0"/>
    <w:rsid w:val="001B09B5"/>
    <w:rsid w:val="001B0D18"/>
    <w:rsid w:val="001B0F4C"/>
    <w:rsid w:val="001B1578"/>
    <w:rsid w:val="001B1B90"/>
    <w:rsid w:val="001B221A"/>
    <w:rsid w:val="001B2372"/>
    <w:rsid w:val="001B2A41"/>
    <w:rsid w:val="001B2DCD"/>
    <w:rsid w:val="001B2DDE"/>
    <w:rsid w:val="001B3747"/>
    <w:rsid w:val="001B388E"/>
    <w:rsid w:val="001B4395"/>
    <w:rsid w:val="001B471D"/>
    <w:rsid w:val="001B4764"/>
    <w:rsid w:val="001B4DAC"/>
    <w:rsid w:val="001B5052"/>
    <w:rsid w:val="001B510C"/>
    <w:rsid w:val="001B52E2"/>
    <w:rsid w:val="001B5772"/>
    <w:rsid w:val="001B5F7A"/>
    <w:rsid w:val="001B675C"/>
    <w:rsid w:val="001B7511"/>
    <w:rsid w:val="001C029E"/>
    <w:rsid w:val="001C17EA"/>
    <w:rsid w:val="001C19B7"/>
    <w:rsid w:val="001C1B3E"/>
    <w:rsid w:val="001C1F98"/>
    <w:rsid w:val="001C2519"/>
    <w:rsid w:val="001C280D"/>
    <w:rsid w:val="001C3308"/>
    <w:rsid w:val="001C341B"/>
    <w:rsid w:val="001C3BCB"/>
    <w:rsid w:val="001C46D0"/>
    <w:rsid w:val="001C516D"/>
    <w:rsid w:val="001C51D1"/>
    <w:rsid w:val="001C5F08"/>
    <w:rsid w:val="001C621A"/>
    <w:rsid w:val="001C71DB"/>
    <w:rsid w:val="001C75F3"/>
    <w:rsid w:val="001C78E4"/>
    <w:rsid w:val="001C7A4A"/>
    <w:rsid w:val="001D0B01"/>
    <w:rsid w:val="001D0BC4"/>
    <w:rsid w:val="001D0C62"/>
    <w:rsid w:val="001D16F5"/>
    <w:rsid w:val="001D1906"/>
    <w:rsid w:val="001D1B73"/>
    <w:rsid w:val="001D1B7D"/>
    <w:rsid w:val="001D205D"/>
    <w:rsid w:val="001D2B24"/>
    <w:rsid w:val="001D2EEF"/>
    <w:rsid w:val="001D3567"/>
    <w:rsid w:val="001D4AC1"/>
    <w:rsid w:val="001D4B01"/>
    <w:rsid w:val="001D4FAA"/>
    <w:rsid w:val="001D5452"/>
    <w:rsid w:val="001D5F68"/>
    <w:rsid w:val="001D615A"/>
    <w:rsid w:val="001D69F8"/>
    <w:rsid w:val="001D6C43"/>
    <w:rsid w:val="001D7D45"/>
    <w:rsid w:val="001D7DD2"/>
    <w:rsid w:val="001D7F0A"/>
    <w:rsid w:val="001E065A"/>
    <w:rsid w:val="001E0D02"/>
    <w:rsid w:val="001E149D"/>
    <w:rsid w:val="001E1555"/>
    <w:rsid w:val="001E1ABE"/>
    <w:rsid w:val="001E2734"/>
    <w:rsid w:val="001E2CA4"/>
    <w:rsid w:val="001E45B2"/>
    <w:rsid w:val="001E4F1F"/>
    <w:rsid w:val="001E5801"/>
    <w:rsid w:val="001E5B04"/>
    <w:rsid w:val="001E5C54"/>
    <w:rsid w:val="001E64B2"/>
    <w:rsid w:val="001E66B5"/>
    <w:rsid w:val="001E70D5"/>
    <w:rsid w:val="001E70E9"/>
    <w:rsid w:val="001E71DE"/>
    <w:rsid w:val="001E71EC"/>
    <w:rsid w:val="001E73EC"/>
    <w:rsid w:val="001E7BFC"/>
    <w:rsid w:val="001F00F3"/>
    <w:rsid w:val="001F023D"/>
    <w:rsid w:val="001F0A7E"/>
    <w:rsid w:val="001F0BD8"/>
    <w:rsid w:val="001F0F02"/>
    <w:rsid w:val="001F130E"/>
    <w:rsid w:val="001F2D5C"/>
    <w:rsid w:val="001F2FD0"/>
    <w:rsid w:val="001F35B5"/>
    <w:rsid w:val="001F37BC"/>
    <w:rsid w:val="001F39B9"/>
    <w:rsid w:val="001F3EE2"/>
    <w:rsid w:val="001F4446"/>
    <w:rsid w:val="001F45DC"/>
    <w:rsid w:val="001F4BAB"/>
    <w:rsid w:val="001F57A0"/>
    <w:rsid w:val="001F590A"/>
    <w:rsid w:val="001F5940"/>
    <w:rsid w:val="001F5D48"/>
    <w:rsid w:val="001F6D6D"/>
    <w:rsid w:val="00200927"/>
    <w:rsid w:val="0020095A"/>
    <w:rsid w:val="00200DC9"/>
    <w:rsid w:val="00201326"/>
    <w:rsid w:val="002014D9"/>
    <w:rsid w:val="00202305"/>
    <w:rsid w:val="0020258F"/>
    <w:rsid w:val="00202D3D"/>
    <w:rsid w:val="0020313A"/>
    <w:rsid w:val="00203523"/>
    <w:rsid w:val="0020381D"/>
    <w:rsid w:val="00203972"/>
    <w:rsid w:val="0020460A"/>
    <w:rsid w:val="002046C8"/>
    <w:rsid w:val="00204AFD"/>
    <w:rsid w:val="00204FBA"/>
    <w:rsid w:val="00205009"/>
    <w:rsid w:val="0020685D"/>
    <w:rsid w:val="002072D4"/>
    <w:rsid w:val="002073AA"/>
    <w:rsid w:val="002079E4"/>
    <w:rsid w:val="002107CD"/>
    <w:rsid w:val="002110A8"/>
    <w:rsid w:val="0021157A"/>
    <w:rsid w:val="00211BD6"/>
    <w:rsid w:val="00211ED6"/>
    <w:rsid w:val="00212126"/>
    <w:rsid w:val="00212735"/>
    <w:rsid w:val="00212946"/>
    <w:rsid w:val="00212D4D"/>
    <w:rsid w:val="00212DE5"/>
    <w:rsid w:val="00213B59"/>
    <w:rsid w:val="00214827"/>
    <w:rsid w:val="00214C0B"/>
    <w:rsid w:val="00214C93"/>
    <w:rsid w:val="00214E09"/>
    <w:rsid w:val="0021528A"/>
    <w:rsid w:val="00215E44"/>
    <w:rsid w:val="002162AE"/>
    <w:rsid w:val="00216D96"/>
    <w:rsid w:val="00216E32"/>
    <w:rsid w:val="00217213"/>
    <w:rsid w:val="0022031D"/>
    <w:rsid w:val="00220342"/>
    <w:rsid w:val="00220D17"/>
    <w:rsid w:val="00221027"/>
    <w:rsid w:val="00221585"/>
    <w:rsid w:val="00222307"/>
    <w:rsid w:val="002227A7"/>
    <w:rsid w:val="00222B02"/>
    <w:rsid w:val="0022345F"/>
    <w:rsid w:val="00223694"/>
    <w:rsid w:val="002242B7"/>
    <w:rsid w:val="00224AFA"/>
    <w:rsid w:val="00225751"/>
    <w:rsid w:val="00225754"/>
    <w:rsid w:val="00225CC5"/>
    <w:rsid w:val="0022666A"/>
    <w:rsid w:val="0022678C"/>
    <w:rsid w:val="00226C6A"/>
    <w:rsid w:val="00226F7C"/>
    <w:rsid w:val="002273D6"/>
    <w:rsid w:val="00227A7C"/>
    <w:rsid w:val="00227B38"/>
    <w:rsid w:val="00227B96"/>
    <w:rsid w:val="002309C2"/>
    <w:rsid w:val="0023106D"/>
    <w:rsid w:val="00231B3A"/>
    <w:rsid w:val="00231DAF"/>
    <w:rsid w:val="0023274D"/>
    <w:rsid w:val="00232E71"/>
    <w:rsid w:val="00232E9B"/>
    <w:rsid w:val="00233034"/>
    <w:rsid w:val="00233076"/>
    <w:rsid w:val="00233F28"/>
    <w:rsid w:val="002343E1"/>
    <w:rsid w:val="00234890"/>
    <w:rsid w:val="00234CAE"/>
    <w:rsid w:val="002353CF"/>
    <w:rsid w:val="00235605"/>
    <w:rsid w:val="00236767"/>
    <w:rsid w:val="00236BC7"/>
    <w:rsid w:val="002373DC"/>
    <w:rsid w:val="00237801"/>
    <w:rsid w:val="00237B81"/>
    <w:rsid w:val="002402E3"/>
    <w:rsid w:val="002407A1"/>
    <w:rsid w:val="002408BA"/>
    <w:rsid w:val="002410FA"/>
    <w:rsid w:val="002412C3"/>
    <w:rsid w:val="0024177F"/>
    <w:rsid w:val="002422D5"/>
    <w:rsid w:val="00242A4E"/>
    <w:rsid w:val="002436F5"/>
    <w:rsid w:val="00243958"/>
    <w:rsid w:val="002440D9"/>
    <w:rsid w:val="002458F6"/>
    <w:rsid w:val="00246D74"/>
    <w:rsid w:val="00246FCA"/>
    <w:rsid w:val="00250672"/>
    <w:rsid w:val="002507F5"/>
    <w:rsid w:val="00251169"/>
    <w:rsid w:val="00251AD1"/>
    <w:rsid w:val="00252A30"/>
    <w:rsid w:val="00253B10"/>
    <w:rsid w:val="00254D7C"/>
    <w:rsid w:val="00255153"/>
    <w:rsid w:val="00255175"/>
    <w:rsid w:val="00257AB5"/>
    <w:rsid w:val="00257D08"/>
    <w:rsid w:val="00257DCC"/>
    <w:rsid w:val="00257F2B"/>
    <w:rsid w:val="002603FF"/>
    <w:rsid w:val="00260CD8"/>
    <w:rsid w:val="00260EBD"/>
    <w:rsid w:val="00261782"/>
    <w:rsid w:val="00261973"/>
    <w:rsid w:val="002627BD"/>
    <w:rsid w:val="0026302D"/>
    <w:rsid w:val="00263237"/>
    <w:rsid w:val="00263A06"/>
    <w:rsid w:val="002641AE"/>
    <w:rsid w:val="00264803"/>
    <w:rsid w:val="002657A3"/>
    <w:rsid w:val="002657ED"/>
    <w:rsid w:val="00265CAE"/>
    <w:rsid w:val="00265DAB"/>
    <w:rsid w:val="00266177"/>
    <w:rsid w:val="0026634F"/>
    <w:rsid w:val="00266BFB"/>
    <w:rsid w:val="00267BBD"/>
    <w:rsid w:val="0027003D"/>
    <w:rsid w:val="00270959"/>
    <w:rsid w:val="00270B95"/>
    <w:rsid w:val="00271792"/>
    <w:rsid w:val="002718EB"/>
    <w:rsid w:val="00271FD4"/>
    <w:rsid w:val="002723EE"/>
    <w:rsid w:val="002725B1"/>
    <w:rsid w:val="00272D9E"/>
    <w:rsid w:val="00272E0D"/>
    <w:rsid w:val="00273291"/>
    <w:rsid w:val="002740E5"/>
    <w:rsid w:val="00274429"/>
    <w:rsid w:val="00275A42"/>
    <w:rsid w:val="00275DE5"/>
    <w:rsid w:val="00275F9C"/>
    <w:rsid w:val="00276877"/>
    <w:rsid w:val="00276A3B"/>
    <w:rsid w:val="002773E6"/>
    <w:rsid w:val="00277407"/>
    <w:rsid w:val="002774CF"/>
    <w:rsid w:val="002776C8"/>
    <w:rsid w:val="00277F15"/>
    <w:rsid w:val="002801D2"/>
    <w:rsid w:val="00280357"/>
    <w:rsid w:val="002810A3"/>
    <w:rsid w:val="00281209"/>
    <w:rsid w:val="002819B4"/>
    <w:rsid w:val="002821C6"/>
    <w:rsid w:val="002828CB"/>
    <w:rsid w:val="00282B35"/>
    <w:rsid w:val="0028384C"/>
    <w:rsid w:val="002838D5"/>
    <w:rsid w:val="00283C70"/>
    <w:rsid w:val="00283CA0"/>
    <w:rsid w:val="002841A8"/>
    <w:rsid w:val="00284C40"/>
    <w:rsid w:val="0028541D"/>
    <w:rsid w:val="00285472"/>
    <w:rsid w:val="002857BA"/>
    <w:rsid w:val="00285A69"/>
    <w:rsid w:val="00285A8A"/>
    <w:rsid w:val="00286174"/>
    <w:rsid w:val="002861F4"/>
    <w:rsid w:val="00287839"/>
    <w:rsid w:val="00287A89"/>
    <w:rsid w:val="00287F1E"/>
    <w:rsid w:val="0029025A"/>
    <w:rsid w:val="0029194C"/>
    <w:rsid w:val="00291F44"/>
    <w:rsid w:val="00292184"/>
    <w:rsid w:val="00292712"/>
    <w:rsid w:val="00292D0D"/>
    <w:rsid w:val="00293B4B"/>
    <w:rsid w:val="0029407F"/>
    <w:rsid w:val="002948B8"/>
    <w:rsid w:val="00294D98"/>
    <w:rsid w:val="00294EA8"/>
    <w:rsid w:val="0029526D"/>
    <w:rsid w:val="00295A6B"/>
    <w:rsid w:val="00295E00"/>
    <w:rsid w:val="00295F47"/>
    <w:rsid w:val="0029609A"/>
    <w:rsid w:val="00296566"/>
    <w:rsid w:val="00296C55"/>
    <w:rsid w:val="002972C6"/>
    <w:rsid w:val="00297311"/>
    <w:rsid w:val="0029788B"/>
    <w:rsid w:val="002979A0"/>
    <w:rsid w:val="002A041D"/>
    <w:rsid w:val="002A05F0"/>
    <w:rsid w:val="002A0B42"/>
    <w:rsid w:val="002A0C22"/>
    <w:rsid w:val="002A0D61"/>
    <w:rsid w:val="002A170F"/>
    <w:rsid w:val="002A1BFB"/>
    <w:rsid w:val="002A1E9E"/>
    <w:rsid w:val="002A24BE"/>
    <w:rsid w:val="002A27BB"/>
    <w:rsid w:val="002A2AEA"/>
    <w:rsid w:val="002A3042"/>
    <w:rsid w:val="002A307F"/>
    <w:rsid w:val="002A3239"/>
    <w:rsid w:val="002A3752"/>
    <w:rsid w:val="002A3E25"/>
    <w:rsid w:val="002A4526"/>
    <w:rsid w:val="002A488B"/>
    <w:rsid w:val="002A4A6D"/>
    <w:rsid w:val="002A4BDB"/>
    <w:rsid w:val="002A53B5"/>
    <w:rsid w:val="002A55BA"/>
    <w:rsid w:val="002A5604"/>
    <w:rsid w:val="002A57FD"/>
    <w:rsid w:val="002A5ED5"/>
    <w:rsid w:val="002A683B"/>
    <w:rsid w:val="002A6BBA"/>
    <w:rsid w:val="002A7E51"/>
    <w:rsid w:val="002B01FB"/>
    <w:rsid w:val="002B0697"/>
    <w:rsid w:val="002B0E10"/>
    <w:rsid w:val="002B10AB"/>
    <w:rsid w:val="002B112E"/>
    <w:rsid w:val="002B11B7"/>
    <w:rsid w:val="002B18F2"/>
    <w:rsid w:val="002B1FF1"/>
    <w:rsid w:val="002B270D"/>
    <w:rsid w:val="002B2950"/>
    <w:rsid w:val="002B36A7"/>
    <w:rsid w:val="002B3CAF"/>
    <w:rsid w:val="002B45B0"/>
    <w:rsid w:val="002B51F4"/>
    <w:rsid w:val="002B586C"/>
    <w:rsid w:val="002B6984"/>
    <w:rsid w:val="002B74AD"/>
    <w:rsid w:val="002B7A8D"/>
    <w:rsid w:val="002B7BEE"/>
    <w:rsid w:val="002B7D89"/>
    <w:rsid w:val="002C0331"/>
    <w:rsid w:val="002C05E0"/>
    <w:rsid w:val="002C05EB"/>
    <w:rsid w:val="002C0D31"/>
    <w:rsid w:val="002C0DB2"/>
    <w:rsid w:val="002C0F5C"/>
    <w:rsid w:val="002C2051"/>
    <w:rsid w:val="002C2408"/>
    <w:rsid w:val="002C27B1"/>
    <w:rsid w:val="002C3188"/>
    <w:rsid w:val="002C31AA"/>
    <w:rsid w:val="002C383E"/>
    <w:rsid w:val="002C38D4"/>
    <w:rsid w:val="002C3E46"/>
    <w:rsid w:val="002C4121"/>
    <w:rsid w:val="002C42BA"/>
    <w:rsid w:val="002C491B"/>
    <w:rsid w:val="002C4931"/>
    <w:rsid w:val="002C532C"/>
    <w:rsid w:val="002C5731"/>
    <w:rsid w:val="002C627B"/>
    <w:rsid w:val="002C67CD"/>
    <w:rsid w:val="002C74F1"/>
    <w:rsid w:val="002C76B7"/>
    <w:rsid w:val="002C77BF"/>
    <w:rsid w:val="002C79BB"/>
    <w:rsid w:val="002C7BE6"/>
    <w:rsid w:val="002D005F"/>
    <w:rsid w:val="002D0DB1"/>
    <w:rsid w:val="002D198E"/>
    <w:rsid w:val="002D1CD5"/>
    <w:rsid w:val="002D1D2A"/>
    <w:rsid w:val="002D258F"/>
    <w:rsid w:val="002D2858"/>
    <w:rsid w:val="002D2970"/>
    <w:rsid w:val="002D29FC"/>
    <w:rsid w:val="002D3614"/>
    <w:rsid w:val="002D3B66"/>
    <w:rsid w:val="002D3FF4"/>
    <w:rsid w:val="002D4087"/>
    <w:rsid w:val="002D422E"/>
    <w:rsid w:val="002D48B1"/>
    <w:rsid w:val="002D48D7"/>
    <w:rsid w:val="002D4C3D"/>
    <w:rsid w:val="002D52DD"/>
    <w:rsid w:val="002D55AF"/>
    <w:rsid w:val="002D58A1"/>
    <w:rsid w:val="002D58F1"/>
    <w:rsid w:val="002D5C82"/>
    <w:rsid w:val="002D5F8E"/>
    <w:rsid w:val="002D606F"/>
    <w:rsid w:val="002D6299"/>
    <w:rsid w:val="002D6D1C"/>
    <w:rsid w:val="002D77C3"/>
    <w:rsid w:val="002D7A1E"/>
    <w:rsid w:val="002E02F5"/>
    <w:rsid w:val="002E03F0"/>
    <w:rsid w:val="002E0B1E"/>
    <w:rsid w:val="002E1549"/>
    <w:rsid w:val="002E1CDF"/>
    <w:rsid w:val="002E21B5"/>
    <w:rsid w:val="002E2383"/>
    <w:rsid w:val="002E27FD"/>
    <w:rsid w:val="002E2B3B"/>
    <w:rsid w:val="002E2C83"/>
    <w:rsid w:val="002E3232"/>
    <w:rsid w:val="002E3C47"/>
    <w:rsid w:val="002E3FCB"/>
    <w:rsid w:val="002E4050"/>
    <w:rsid w:val="002E410A"/>
    <w:rsid w:val="002E433C"/>
    <w:rsid w:val="002E4742"/>
    <w:rsid w:val="002E5DB5"/>
    <w:rsid w:val="002E6328"/>
    <w:rsid w:val="002E691E"/>
    <w:rsid w:val="002E69D7"/>
    <w:rsid w:val="002E6ACA"/>
    <w:rsid w:val="002E6C33"/>
    <w:rsid w:val="002E6C6E"/>
    <w:rsid w:val="002E779F"/>
    <w:rsid w:val="002F0984"/>
    <w:rsid w:val="002F0B18"/>
    <w:rsid w:val="002F142E"/>
    <w:rsid w:val="002F1ACA"/>
    <w:rsid w:val="002F2351"/>
    <w:rsid w:val="002F26F2"/>
    <w:rsid w:val="002F2805"/>
    <w:rsid w:val="002F2AFA"/>
    <w:rsid w:val="002F3543"/>
    <w:rsid w:val="002F35B0"/>
    <w:rsid w:val="002F3FAE"/>
    <w:rsid w:val="002F4264"/>
    <w:rsid w:val="002F4826"/>
    <w:rsid w:val="002F542D"/>
    <w:rsid w:val="002F547D"/>
    <w:rsid w:val="002F548F"/>
    <w:rsid w:val="002F65E8"/>
    <w:rsid w:val="002F6846"/>
    <w:rsid w:val="002F7007"/>
    <w:rsid w:val="002F72D1"/>
    <w:rsid w:val="002F73E0"/>
    <w:rsid w:val="002F75E2"/>
    <w:rsid w:val="003003B8"/>
    <w:rsid w:val="00300993"/>
    <w:rsid w:val="00300C5D"/>
    <w:rsid w:val="00300F5B"/>
    <w:rsid w:val="00301692"/>
    <w:rsid w:val="003017EC"/>
    <w:rsid w:val="00301A8A"/>
    <w:rsid w:val="00301E1A"/>
    <w:rsid w:val="00302070"/>
    <w:rsid w:val="0030242B"/>
    <w:rsid w:val="0030246F"/>
    <w:rsid w:val="00302BFD"/>
    <w:rsid w:val="00303238"/>
    <w:rsid w:val="00303897"/>
    <w:rsid w:val="003038E4"/>
    <w:rsid w:val="00303A3E"/>
    <w:rsid w:val="00303BD5"/>
    <w:rsid w:val="00303D2B"/>
    <w:rsid w:val="003042C0"/>
    <w:rsid w:val="003042F8"/>
    <w:rsid w:val="003053A6"/>
    <w:rsid w:val="003053CF"/>
    <w:rsid w:val="003054D4"/>
    <w:rsid w:val="00305714"/>
    <w:rsid w:val="00306A6F"/>
    <w:rsid w:val="00306EDF"/>
    <w:rsid w:val="00307231"/>
    <w:rsid w:val="00307642"/>
    <w:rsid w:val="003076F4"/>
    <w:rsid w:val="00307BF5"/>
    <w:rsid w:val="0031022A"/>
    <w:rsid w:val="003104F5"/>
    <w:rsid w:val="0031103F"/>
    <w:rsid w:val="00311716"/>
    <w:rsid w:val="003117EC"/>
    <w:rsid w:val="00311E4B"/>
    <w:rsid w:val="00311EB4"/>
    <w:rsid w:val="00312384"/>
    <w:rsid w:val="00312898"/>
    <w:rsid w:val="003128D3"/>
    <w:rsid w:val="003128DA"/>
    <w:rsid w:val="00312B4F"/>
    <w:rsid w:val="00313066"/>
    <w:rsid w:val="00313159"/>
    <w:rsid w:val="003133AE"/>
    <w:rsid w:val="00313679"/>
    <w:rsid w:val="00313AE1"/>
    <w:rsid w:val="00313E22"/>
    <w:rsid w:val="00313EDF"/>
    <w:rsid w:val="0031448C"/>
    <w:rsid w:val="00315091"/>
    <w:rsid w:val="00315419"/>
    <w:rsid w:val="003159EF"/>
    <w:rsid w:val="00315A02"/>
    <w:rsid w:val="00317377"/>
    <w:rsid w:val="00317A36"/>
    <w:rsid w:val="00317B22"/>
    <w:rsid w:val="00317EA9"/>
    <w:rsid w:val="0032062D"/>
    <w:rsid w:val="003213D9"/>
    <w:rsid w:val="00321AE3"/>
    <w:rsid w:val="00322373"/>
    <w:rsid w:val="0032392F"/>
    <w:rsid w:val="00323990"/>
    <w:rsid w:val="00323F24"/>
    <w:rsid w:val="00323F53"/>
    <w:rsid w:val="00324302"/>
    <w:rsid w:val="00324983"/>
    <w:rsid w:val="00324B6B"/>
    <w:rsid w:val="00324EA9"/>
    <w:rsid w:val="0032525F"/>
    <w:rsid w:val="003254D2"/>
    <w:rsid w:val="00325636"/>
    <w:rsid w:val="003258A4"/>
    <w:rsid w:val="00325C62"/>
    <w:rsid w:val="00326211"/>
    <w:rsid w:val="003267A8"/>
    <w:rsid w:val="00326890"/>
    <w:rsid w:val="00326967"/>
    <w:rsid w:val="00326ACF"/>
    <w:rsid w:val="00327EFF"/>
    <w:rsid w:val="00330520"/>
    <w:rsid w:val="003309EE"/>
    <w:rsid w:val="00330D24"/>
    <w:rsid w:val="003316B7"/>
    <w:rsid w:val="00331ABC"/>
    <w:rsid w:val="00332127"/>
    <w:rsid w:val="003326B0"/>
    <w:rsid w:val="00332A70"/>
    <w:rsid w:val="00332A99"/>
    <w:rsid w:val="0033340A"/>
    <w:rsid w:val="003334DA"/>
    <w:rsid w:val="00333C34"/>
    <w:rsid w:val="003343C2"/>
    <w:rsid w:val="0033479D"/>
    <w:rsid w:val="00335A09"/>
    <w:rsid w:val="003374AC"/>
    <w:rsid w:val="00337948"/>
    <w:rsid w:val="0034023F"/>
    <w:rsid w:val="003407DB"/>
    <w:rsid w:val="00340E4D"/>
    <w:rsid w:val="00341046"/>
    <w:rsid w:val="00341844"/>
    <w:rsid w:val="00342258"/>
    <w:rsid w:val="0034256A"/>
    <w:rsid w:val="0034272D"/>
    <w:rsid w:val="003428DE"/>
    <w:rsid w:val="003428F9"/>
    <w:rsid w:val="0034290C"/>
    <w:rsid w:val="00342B14"/>
    <w:rsid w:val="00342CB5"/>
    <w:rsid w:val="00342D08"/>
    <w:rsid w:val="0034310C"/>
    <w:rsid w:val="003432FF"/>
    <w:rsid w:val="003436CD"/>
    <w:rsid w:val="00343737"/>
    <w:rsid w:val="003439BC"/>
    <w:rsid w:val="00343A42"/>
    <w:rsid w:val="00344044"/>
    <w:rsid w:val="00344455"/>
    <w:rsid w:val="00344969"/>
    <w:rsid w:val="00344F63"/>
    <w:rsid w:val="00345A9D"/>
    <w:rsid w:val="00345C0A"/>
    <w:rsid w:val="0034633C"/>
    <w:rsid w:val="0034634B"/>
    <w:rsid w:val="003471D4"/>
    <w:rsid w:val="003475AE"/>
    <w:rsid w:val="0035088D"/>
    <w:rsid w:val="00350942"/>
    <w:rsid w:val="00351206"/>
    <w:rsid w:val="003513D9"/>
    <w:rsid w:val="003514D9"/>
    <w:rsid w:val="00351C70"/>
    <w:rsid w:val="00351EBA"/>
    <w:rsid w:val="00352838"/>
    <w:rsid w:val="003534AA"/>
    <w:rsid w:val="00353908"/>
    <w:rsid w:val="00354131"/>
    <w:rsid w:val="003551DB"/>
    <w:rsid w:val="003555DA"/>
    <w:rsid w:val="00355A7B"/>
    <w:rsid w:val="003560E6"/>
    <w:rsid w:val="00356B87"/>
    <w:rsid w:val="00357615"/>
    <w:rsid w:val="003578C5"/>
    <w:rsid w:val="00357DE8"/>
    <w:rsid w:val="00360580"/>
    <w:rsid w:val="0036087E"/>
    <w:rsid w:val="00360B99"/>
    <w:rsid w:val="003616D0"/>
    <w:rsid w:val="00361C94"/>
    <w:rsid w:val="00362B83"/>
    <w:rsid w:val="00362C2B"/>
    <w:rsid w:val="003634CF"/>
    <w:rsid w:val="003645F9"/>
    <w:rsid w:val="00364E4D"/>
    <w:rsid w:val="00364F7D"/>
    <w:rsid w:val="0036562D"/>
    <w:rsid w:val="00365899"/>
    <w:rsid w:val="00365AA5"/>
    <w:rsid w:val="00365C6C"/>
    <w:rsid w:val="00366956"/>
    <w:rsid w:val="00366F0D"/>
    <w:rsid w:val="00367286"/>
    <w:rsid w:val="00367CA0"/>
    <w:rsid w:val="0037082B"/>
    <w:rsid w:val="00370D21"/>
    <w:rsid w:val="00370FDA"/>
    <w:rsid w:val="003711DE"/>
    <w:rsid w:val="003714FE"/>
    <w:rsid w:val="00371689"/>
    <w:rsid w:val="00371D16"/>
    <w:rsid w:val="00372407"/>
    <w:rsid w:val="00372458"/>
    <w:rsid w:val="0037288C"/>
    <w:rsid w:val="00373F73"/>
    <w:rsid w:val="00374492"/>
    <w:rsid w:val="00374CFF"/>
    <w:rsid w:val="00375078"/>
    <w:rsid w:val="00375838"/>
    <w:rsid w:val="0037614E"/>
    <w:rsid w:val="003761D7"/>
    <w:rsid w:val="00376538"/>
    <w:rsid w:val="003766BB"/>
    <w:rsid w:val="0037689B"/>
    <w:rsid w:val="00376956"/>
    <w:rsid w:val="003773FA"/>
    <w:rsid w:val="003801BD"/>
    <w:rsid w:val="00380570"/>
    <w:rsid w:val="003808EC"/>
    <w:rsid w:val="00380932"/>
    <w:rsid w:val="00381033"/>
    <w:rsid w:val="0038185D"/>
    <w:rsid w:val="00381D14"/>
    <w:rsid w:val="003828F0"/>
    <w:rsid w:val="00382E55"/>
    <w:rsid w:val="00383821"/>
    <w:rsid w:val="0038397F"/>
    <w:rsid w:val="003840B4"/>
    <w:rsid w:val="003843B3"/>
    <w:rsid w:val="003843F1"/>
    <w:rsid w:val="00384F43"/>
    <w:rsid w:val="0038623E"/>
    <w:rsid w:val="00386F12"/>
    <w:rsid w:val="0038746E"/>
    <w:rsid w:val="00390518"/>
    <w:rsid w:val="00390CED"/>
    <w:rsid w:val="003913FD"/>
    <w:rsid w:val="00391BF6"/>
    <w:rsid w:val="00391C65"/>
    <w:rsid w:val="003922AC"/>
    <w:rsid w:val="0039231E"/>
    <w:rsid w:val="00392D1C"/>
    <w:rsid w:val="00393109"/>
    <w:rsid w:val="0039387F"/>
    <w:rsid w:val="00393906"/>
    <w:rsid w:val="00393910"/>
    <w:rsid w:val="0039419F"/>
    <w:rsid w:val="00394873"/>
    <w:rsid w:val="00395941"/>
    <w:rsid w:val="00395D29"/>
    <w:rsid w:val="00395DD5"/>
    <w:rsid w:val="00396392"/>
    <w:rsid w:val="003963EF"/>
    <w:rsid w:val="0039685C"/>
    <w:rsid w:val="00396FAA"/>
    <w:rsid w:val="00397962"/>
    <w:rsid w:val="00397A3F"/>
    <w:rsid w:val="00397AFA"/>
    <w:rsid w:val="003A039A"/>
    <w:rsid w:val="003A0501"/>
    <w:rsid w:val="003A158E"/>
    <w:rsid w:val="003A19D6"/>
    <w:rsid w:val="003A1B26"/>
    <w:rsid w:val="003A201B"/>
    <w:rsid w:val="003A2533"/>
    <w:rsid w:val="003A2EB7"/>
    <w:rsid w:val="003A304E"/>
    <w:rsid w:val="003A32E9"/>
    <w:rsid w:val="003A56C4"/>
    <w:rsid w:val="003A5A83"/>
    <w:rsid w:val="003A5FB9"/>
    <w:rsid w:val="003A605E"/>
    <w:rsid w:val="003A65CE"/>
    <w:rsid w:val="003A6894"/>
    <w:rsid w:val="003A75DC"/>
    <w:rsid w:val="003A76B8"/>
    <w:rsid w:val="003A7764"/>
    <w:rsid w:val="003A787A"/>
    <w:rsid w:val="003B180E"/>
    <w:rsid w:val="003B225F"/>
    <w:rsid w:val="003B25B3"/>
    <w:rsid w:val="003B276B"/>
    <w:rsid w:val="003B28F4"/>
    <w:rsid w:val="003B2BB5"/>
    <w:rsid w:val="003B2D36"/>
    <w:rsid w:val="003B3459"/>
    <w:rsid w:val="003B3556"/>
    <w:rsid w:val="003B3A25"/>
    <w:rsid w:val="003B3BEB"/>
    <w:rsid w:val="003B4658"/>
    <w:rsid w:val="003B4D0A"/>
    <w:rsid w:val="003B5036"/>
    <w:rsid w:val="003B590E"/>
    <w:rsid w:val="003B5E34"/>
    <w:rsid w:val="003B602F"/>
    <w:rsid w:val="003B6143"/>
    <w:rsid w:val="003B6B28"/>
    <w:rsid w:val="003B6BE2"/>
    <w:rsid w:val="003B713D"/>
    <w:rsid w:val="003B7239"/>
    <w:rsid w:val="003B7385"/>
    <w:rsid w:val="003B773B"/>
    <w:rsid w:val="003B773F"/>
    <w:rsid w:val="003B78E8"/>
    <w:rsid w:val="003B7A6D"/>
    <w:rsid w:val="003C0498"/>
    <w:rsid w:val="003C05C8"/>
    <w:rsid w:val="003C0988"/>
    <w:rsid w:val="003C154F"/>
    <w:rsid w:val="003C1790"/>
    <w:rsid w:val="003C1914"/>
    <w:rsid w:val="003C19F4"/>
    <w:rsid w:val="003C1B29"/>
    <w:rsid w:val="003C1BF9"/>
    <w:rsid w:val="003C2255"/>
    <w:rsid w:val="003C233B"/>
    <w:rsid w:val="003C2539"/>
    <w:rsid w:val="003C2A36"/>
    <w:rsid w:val="003C2AD1"/>
    <w:rsid w:val="003C2CC5"/>
    <w:rsid w:val="003C3227"/>
    <w:rsid w:val="003C3A80"/>
    <w:rsid w:val="003C449B"/>
    <w:rsid w:val="003C493B"/>
    <w:rsid w:val="003C49F4"/>
    <w:rsid w:val="003C64DE"/>
    <w:rsid w:val="003C6CB9"/>
    <w:rsid w:val="003C6D2B"/>
    <w:rsid w:val="003C6DFB"/>
    <w:rsid w:val="003D00AE"/>
    <w:rsid w:val="003D02A6"/>
    <w:rsid w:val="003D09BF"/>
    <w:rsid w:val="003D0C86"/>
    <w:rsid w:val="003D0F9B"/>
    <w:rsid w:val="003D1E30"/>
    <w:rsid w:val="003D1E50"/>
    <w:rsid w:val="003D1EFC"/>
    <w:rsid w:val="003D2324"/>
    <w:rsid w:val="003D27D3"/>
    <w:rsid w:val="003D3E1F"/>
    <w:rsid w:val="003D401A"/>
    <w:rsid w:val="003D41D9"/>
    <w:rsid w:val="003D43C0"/>
    <w:rsid w:val="003D4FBE"/>
    <w:rsid w:val="003D6182"/>
    <w:rsid w:val="003D69AB"/>
    <w:rsid w:val="003D73C2"/>
    <w:rsid w:val="003D7625"/>
    <w:rsid w:val="003D786C"/>
    <w:rsid w:val="003D79FF"/>
    <w:rsid w:val="003D7D1E"/>
    <w:rsid w:val="003E0582"/>
    <w:rsid w:val="003E0A49"/>
    <w:rsid w:val="003E0AD5"/>
    <w:rsid w:val="003E0C6B"/>
    <w:rsid w:val="003E0D19"/>
    <w:rsid w:val="003E153B"/>
    <w:rsid w:val="003E1A6F"/>
    <w:rsid w:val="003E1EEC"/>
    <w:rsid w:val="003E26D6"/>
    <w:rsid w:val="003E27B2"/>
    <w:rsid w:val="003E323C"/>
    <w:rsid w:val="003E3991"/>
    <w:rsid w:val="003E3A51"/>
    <w:rsid w:val="003E542A"/>
    <w:rsid w:val="003E570C"/>
    <w:rsid w:val="003E6B0A"/>
    <w:rsid w:val="003E6CE6"/>
    <w:rsid w:val="003E770A"/>
    <w:rsid w:val="003E7B75"/>
    <w:rsid w:val="003E7CC9"/>
    <w:rsid w:val="003E7EFF"/>
    <w:rsid w:val="003F09D5"/>
    <w:rsid w:val="003F1178"/>
    <w:rsid w:val="003F12C3"/>
    <w:rsid w:val="003F1AA5"/>
    <w:rsid w:val="003F1B32"/>
    <w:rsid w:val="003F24B2"/>
    <w:rsid w:val="003F40DF"/>
    <w:rsid w:val="003F4383"/>
    <w:rsid w:val="003F4904"/>
    <w:rsid w:val="003F4C6B"/>
    <w:rsid w:val="003F4CA3"/>
    <w:rsid w:val="003F4F90"/>
    <w:rsid w:val="003F50E0"/>
    <w:rsid w:val="003F523A"/>
    <w:rsid w:val="003F5438"/>
    <w:rsid w:val="003F56E6"/>
    <w:rsid w:val="003F6121"/>
    <w:rsid w:val="003F625E"/>
    <w:rsid w:val="003F6A0B"/>
    <w:rsid w:val="003F6EBC"/>
    <w:rsid w:val="003F6ED4"/>
    <w:rsid w:val="003F7572"/>
    <w:rsid w:val="004009AB"/>
    <w:rsid w:val="00400CB8"/>
    <w:rsid w:val="00401CAC"/>
    <w:rsid w:val="00402176"/>
    <w:rsid w:val="0040227F"/>
    <w:rsid w:val="004022C4"/>
    <w:rsid w:val="004027B4"/>
    <w:rsid w:val="00403674"/>
    <w:rsid w:val="00403F5F"/>
    <w:rsid w:val="00404281"/>
    <w:rsid w:val="004045BB"/>
    <w:rsid w:val="00404787"/>
    <w:rsid w:val="00405A6C"/>
    <w:rsid w:val="004061C2"/>
    <w:rsid w:val="00406415"/>
    <w:rsid w:val="00406A42"/>
    <w:rsid w:val="00407689"/>
    <w:rsid w:val="00407FE7"/>
    <w:rsid w:val="004104F1"/>
    <w:rsid w:val="00410ACE"/>
    <w:rsid w:val="00410B80"/>
    <w:rsid w:val="004111BE"/>
    <w:rsid w:val="0041124B"/>
    <w:rsid w:val="004114E1"/>
    <w:rsid w:val="00411D5C"/>
    <w:rsid w:val="00412387"/>
    <w:rsid w:val="004123DA"/>
    <w:rsid w:val="004124F1"/>
    <w:rsid w:val="00412D49"/>
    <w:rsid w:val="00412F9C"/>
    <w:rsid w:val="00412FD7"/>
    <w:rsid w:val="004131F0"/>
    <w:rsid w:val="0041392B"/>
    <w:rsid w:val="004144F5"/>
    <w:rsid w:val="00414AE2"/>
    <w:rsid w:val="00414BF2"/>
    <w:rsid w:val="00415081"/>
    <w:rsid w:val="00415F5A"/>
    <w:rsid w:val="00415FC5"/>
    <w:rsid w:val="004165E1"/>
    <w:rsid w:val="00416C40"/>
    <w:rsid w:val="00416E81"/>
    <w:rsid w:val="00416F02"/>
    <w:rsid w:val="004177B3"/>
    <w:rsid w:val="00417EAE"/>
    <w:rsid w:val="004205A9"/>
    <w:rsid w:val="0042064E"/>
    <w:rsid w:val="0042086F"/>
    <w:rsid w:val="00420977"/>
    <w:rsid w:val="00420EE7"/>
    <w:rsid w:val="004210C0"/>
    <w:rsid w:val="004210F7"/>
    <w:rsid w:val="00421A0A"/>
    <w:rsid w:val="004221D8"/>
    <w:rsid w:val="00422403"/>
    <w:rsid w:val="004227EF"/>
    <w:rsid w:val="004230F1"/>
    <w:rsid w:val="0042381E"/>
    <w:rsid w:val="004238AF"/>
    <w:rsid w:val="004242EA"/>
    <w:rsid w:val="0042484B"/>
    <w:rsid w:val="004249CC"/>
    <w:rsid w:val="00424CAF"/>
    <w:rsid w:val="0042519C"/>
    <w:rsid w:val="0042576F"/>
    <w:rsid w:val="004263D1"/>
    <w:rsid w:val="0042641C"/>
    <w:rsid w:val="004269E4"/>
    <w:rsid w:val="00426F57"/>
    <w:rsid w:val="00427553"/>
    <w:rsid w:val="0042791D"/>
    <w:rsid w:val="004279AA"/>
    <w:rsid w:val="00427B91"/>
    <w:rsid w:val="004303D9"/>
    <w:rsid w:val="0043090E"/>
    <w:rsid w:val="00430E11"/>
    <w:rsid w:val="00431B93"/>
    <w:rsid w:val="004326C5"/>
    <w:rsid w:val="00432FAB"/>
    <w:rsid w:val="00433218"/>
    <w:rsid w:val="00433341"/>
    <w:rsid w:val="0043350D"/>
    <w:rsid w:val="004336F2"/>
    <w:rsid w:val="004338C5"/>
    <w:rsid w:val="00433E92"/>
    <w:rsid w:val="00434093"/>
    <w:rsid w:val="00434912"/>
    <w:rsid w:val="00434CDB"/>
    <w:rsid w:val="00435A61"/>
    <w:rsid w:val="0043610A"/>
    <w:rsid w:val="004366C9"/>
    <w:rsid w:val="004368AC"/>
    <w:rsid w:val="00437EF7"/>
    <w:rsid w:val="00440075"/>
    <w:rsid w:val="00440477"/>
    <w:rsid w:val="004404B8"/>
    <w:rsid w:val="004405F5"/>
    <w:rsid w:val="004411E8"/>
    <w:rsid w:val="00441259"/>
    <w:rsid w:val="004424D8"/>
    <w:rsid w:val="004428D8"/>
    <w:rsid w:val="00442EDD"/>
    <w:rsid w:val="0044302C"/>
    <w:rsid w:val="004432AD"/>
    <w:rsid w:val="0044405E"/>
    <w:rsid w:val="00444230"/>
    <w:rsid w:val="00444375"/>
    <w:rsid w:val="00444BE6"/>
    <w:rsid w:val="00444ECC"/>
    <w:rsid w:val="00445257"/>
    <w:rsid w:val="00445EC5"/>
    <w:rsid w:val="004466D6"/>
    <w:rsid w:val="00446918"/>
    <w:rsid w:val="004470BA"/>
    <w:rsid w:val="004501B7"/>
    <w:rsid w:val="0045021C"/>
    <w:rsid w:val="00450321"/>
    <w:rsid w:val="004506EF"/>
    <w:rsid w:val="004510E6"/>
    <w:rsid w:val="00451352"/>
    <w:rsid w:val="00452638"/>
    <w:rsid w:val="00452E7A"/>
    <w:rsid w:val="00452EA2"/>
    <w:rsid w:val="004538E2"/>
    <w:rsid w:val="0045415D"/>
    <w:rsid w:val="004548A9"/>
    <w:rsid w:val="00455782"/>
    <w:rsid w:val="00455F83"/>
    <w:rsid w:val="004560E5"/>
    <w:rsid w:val="00456373"/>
    <w:rsid w:val="00457B81"/>
    <w:rsid w:val="0046031F"/>
    <w:rsid w:val="00461FBE"/>
    <w:rsid w:val="00464CF8"/>
    <w:rsid w:val="00465412"/>
    <w:rsid w:val="0046595F"/>
    <w:rsid w:val="00465ABB"/>
    <w:rsid w:val="00466916"/>
    <w:rsid w:val="00466D8B"/>
    <w:rsid w:val="00466EC2"/>
    <w:rsid w:val="00467487"/>
    <w:rsid w:val="004674A6"/>
    <w:rsid w:val="0046787A"/>
    <w:rsid w:val="004702C0"/>
    <w:rsid w:val="0047043E"/>
    <w:rsid w:val="00470837"/>
    <w:rsid w:val="00470AE4"/>
    <w:rsid w:val="00470C27"/>
    <w:rsid w:val="00471A1C"/>
    <w:rsid w:val="00471A89"/>
    <w:rsid w:val="00471BDF"/>
    <w:rsid w:val="00471F00"/>
    <w:rsid w:val="00473258"/>
    <w:rsid w:val="004742FC"/>
    <w:rsid w:val="00474405"/>
    <w:rsid w:val="004749BD"/>
    <w:rsid w:val="00474AB4"/>
    <w:rsid w:val="00474C44"/>
    <w:rsid w:val="00474E91"/>
    <w:rsid w:val="004755DA"/>
    <w:rsid w:val="0047561F"/>
    <w:rsid w:val="00475832"/>
    <w:rsid w:val="004759F4"/>
    <w:rsid w:val="00475C41"/>
    <w:rsid w:val="0047692E"/>
    <w:rsid w:val="00477068"/>
    <w:rsid w:val="0047731D"/>
    <w:rsid w:val="00477B59"/>
    <w:rsid w:val="004803D2"/>
    <w:rsid w:val="00480453"/>
    <w:rsid w:val="00480A36"/>
    <w:rsid w:val="00480A65"/>
    <w:rsid w:val="00480CE2"/>
    <w:rsid w:val="0048111D"/>
    <w:rsid w:val="00481BAF"/>
    <w:rsid w:val="00481FC0"/>
    <w:rsid w:val="00482C74"/>
    <w:rsid w:val="00482FA2"/>
    <w:rsid w:val="0048320E"/>
    <w:rsid w:val="00484271"/>
    <w:rsid w:val="00485049"/>
    <w:rsid w:val="00485DB7"/>
    <w:rsid w:val="0048660F"/>
    <w:rsid w:val="004871A0"/>
    <w:rsid w:val="004876B0"/>
    <w:rsid w:val="00487E42"/>
    <w:rsid w:val="00490244"/>
    <w:rsid w:val="004903DA"/>
    <w:rsid w:val="00490490"/>
    <w:rsid w:val="00491153"/>
    <w:rsid w:val="00491310"/>
    <w:rsid w:val="00491503"/>
    <w:rsid w:val="004917EB"/>
    <w:rsid w:val="004918EA"/>
    <w:rsid w:val="004920E8"/>
    <w:rsid w:val="00492671"/>
    <w:rsid w:val="00493EA0"/>
    <w:rsid w:val="00494138"/>
    <w:rsid w:val="0049471B"/>
    <w:rsid w:val="004947EB"/>
    <w:rsid w:val="00495A10"/>
    <w:rsid w:val="00495EEA"/>
    <w:rsid w:val="00496B5E"/>
    <w:rsid w:val="00496F28"/>
    <w:rsid w:val="004971F7"/>
    <w:rsid w:val="00497A28"/>
    <w:rsid w:val="004A1095"/>
    <w:rsid w:val="004A116C"/>
    <w:rsid w:val="004A1703"/>
    <w:rsid w:val="004A18AF"/>
    <w:rsid w:val="004A1B64"/>
    <w:rsid w:val="004A23E6"/>
    <w:rsid w:val="004A301E"/>
    <w:rsid w:val="004A3532"/>
    <w:rsid w:val="004A397B"/>
    <w:rsid w:val="004A4625"/>
    <w:rsid w:val="004A5245"/>
    <w:rsid w:val="004A537D"/>
    <w:rsid w:val="004A5476"/>
    <w:rsid w:val="004A5BEF"/>
    <w:rsid w:val="004A6399"/>
    <w:rsid w:val="004A64D7"/>
    <w:rsid w:val="004A6515"/>
    <w:rsid w:val="004A66AA"/>
    <w:rsid w:val="004A67A2"/>
    <w:rsid w:val="004A6ADD"/>
    <w:rsid w:val="004A6D55"/>
    <w:rsid w:val="004A6FB8"/>
    <w:rsid w:val="004A7441"/>
    <w:rsid w:val="004A765D"/>
    <w:rsid w:val="004A76C3"/>
    <w:rsid w:val="004B00FE"/>
    <w:rsid w:val="004B017F"/>
    <w:rsid w:val="004B01EF"/>
    <w:rsid w:val="004B12F1"/>
    <w:rsid w:val="004B1927"/>
    <w:rsid w:val="004B1E48"/>
    <w:rsid w:val="004B22BD"/>
    <w:rsid w:val="004B2498"/>
    <w:rsid w:val="004B2B0B"/>
    <w:rsid w:val="004B2B13"/>
    <w:rsid w:val="004B36CD"/>
    <w:rsid w:val="004B3732"/>
    <w:rsid w:val="004B3789"/>
    <w:rsid w:val="004B39D7"/>
    <w:rsid w:val="004B3B2A"/>
    <w:rsid w:val="004B416D"/>
    <w:rsid w:val="004B457A"/>
    <w:rsid w:val="004B49D9"/>
    <w:rsid w:val="004B4CA6"/>
    <w:rsid w:val="004B55FA"/>
    <w:rsid w:val="004B5F74"/>
    <w:rsid w:val="004B63B7"/>
    <w:rsid w:val="004B6A28"/>
    <w:rsid w:val="004B7749"/>
    <w:rsid w:val="004B78CC"/>
    <w:rsid w:val="004C0634"/>
    <w:rsid w:val="004C0A07"/>
    <w:rsid w:val="004C0DC2"/>
    <w:rsid w:val="004C0EAC"/>
    <w:rsid w:val="004C0EEB"/>
    <w:rsid w:val="004C12C9"/>
    <w:rsid w:val="004C1D48"/>
    <w:rsid w:val="004C2007"/>
    <w:rsid w:val="004C2183"/>
    <w:rsid w:val="004C376D"/>
    <w:rsid w:val="004C46B9"/>
    <w:rsid w:val="004C592C"/>
    <w:rsid w:val="004C5BB2"/>
    <w:rsid w:val="004C5BF2"/>
    <w:rsid w:val="004C5F50"/>
    <w:rsid w:val="004C61B6"/>
    <w:rsid w:val="004C63E2"/>
    <w:rsid w:val="004C67E8"/>
    <w:rsid w:val="004C69A9"/>
    <w:rsid w:val="004C7483"/>
    <w:rsid w:val="004C760F"/>
    <w:rsid w:val="004C7623"/>
    <w:rsid w:val="004C7665"/>
    <w:rsid w:val="004C76E2"/>
    <w:rsid w:val="004D0699"/>
    <w:rsid w:val="004D1088"/>
    <w:rsid w:val="004D12E5"/>
    <w:rsid w:val="004D2221"/>
    <w:rsid w:val="004D2247"/>
    <w:rsid w:val="004D2D00"/>
    <w:rsid w:val="004D35A9"/>
    <w:rsid w:val="004D3707"/>
    <w:rsid w:val="004D409C"/>
    <w:rsid w:val="004D44D6"/>
    <w:rsid w:val="004D4CBC"/>
    <w:rsid w:val="004D56A2"/>
    <w:rsid w:val="004D5C49"/>
    <w:rsid w:val="004D5EDA"/>
    <w:rsid w:val="004D5F1B"/>
    <w:rsid w:val="004D6237"/>
    <w:rsid w:val="004D6874"/>
    <w:rsid w:val="004D69E9"/>
    <w:rsid w:val="004D6AEB"/>
    <w:rsid w:val="004D750D"/>
    <w:rsid w:val="004D7689"/>
    <w:rsid w:val="004D77E6"/>
    <w:rsid w:val="004E04B2"/>
    <w:rsid w:val="004E0ABB"/>
    <w:rsid w:val="004E196E"/>
    <w:rsid w:val="004E1BAF"/>
    <w:rsid w:val="004E2953"/>
    <w:rsid w:val="004E2B5E"/>
    <w:rsid w:val="004E4228"/>
    <w:rsid w:val="004E48DD"/>
    <w:rsid w:val="004E56BB"/>
    <w:rsid w:val="004E5993"/>
    <w:rsid w:val="004E609F"/>
    <w:rsid w:val="004E7570"/>
    <w:rsid w:val="004E7BB2"/>
    <w:rsid w:val="004F080E"/>
    <w:rsid w:val="004F0881"/>
    <w:rsid w:val="004F1444"/>
    <w:rsid w:val="004F162E"/>
    <w:rsid w:val="004F2153"/>
    <w:rsid w:val="004F21C8"/>
    <w:rsid w:val="004F2313"/>
    <w:rsid w:val="004F2508"/>
    <w:rsid w:val="004F2574"/>
    <w:rsid w:val="004F306A"/>
    <w:rsid w:val="004F369B"/>
    <w:rsid w:val="004F3907"/>
    <w:rsid w:val="004F421A"/>
    <w:rsid w:val="004F4A80"/>
    <w:rsid w:val="004F58FE"/>
    <w:rsid w:val="004F64F2"/>
    <w:rsid w:val="004F737C"/>
    <w:rsid w:val="0050049C"/>
    <w:rsid w:val="005004E9"/>
    <w:rsid w:val="00500E1F"/>
    <w:rsid w:val="005010EE"/>
    <w:rsid w:val="00501406"/>
    <w:rsid w:val="0050192A"/>
    <w:rsid w:val="00501BB5"/>
    <w:rsid w:val="00501C87"/>
    <w:rsid w:val="00501C88"/>
    <w:rsid w:val="005024B7"/>
    <w:rsid w:val="00502F84"/>
    <w:rsid w:val="0050347F"/>
    <w:rsid w:val="00503648"/>
    <w:rsid w:val="005038AF"/>
    <w:rsid w:val="0050431C"/>
    <w:rsid w:val="0050440E"/>
    <w:rsid w:val="00504688"/>
    <w:rsid w:val="00504D1F"/>
    <w:rsid w:val="0050511F"/>
    <w:rsid w:val="00505500"/>
    <w:rsid w:val="0050561A"/>
    <w:rsid w:val="005059A2"/>
    <w:rsid w:val="00505F4B"/>
    <w:rsid w:val="00506E83"/>
    <w:rsid w:val="0050723E"/>
    <w:rsid w:val="0050791F"/>
    <w:rsid w:val="00510812"/>
    <w:rsid w:val="00510948"/>
    <w:rsid w:val="00510A98"/>
    <w:rsid w:val="00510E18"/>
    <w:rsid w:val="00510F1F"/>
    <w:rsid w:val="005110E2"/>
    <w:rsid w:val="00511181"/>
    <w:rsid w:val="00511451"/>
    <w:rsid w:val="00511970"/>
    <w:rsid w:val="00511EF1"/>
    <w:rsid w:val="00511EFF"/>
    <w:rsid w:val="00511F0E"/>
    <w:rsid w:val="0051250B"/>
    <w:rsid w:val="00512C21"/>
    <w:rsid w:val="00512F95"/>
    <w:rsid w:val="00513C44"/>
    <w:rsid w:val="00513DCB"/>
    <w:rsid w:val="0051462B"/>
    <w:rsid w:val="005163AE"/>
    <w:rsid w:val="0051719D"/>
    <w:rsid w:val="00517202"/>
    <w:rsid w:val="00517293"/>
    <w:rsid w:val="00517770"/>
    <w:rsid w:val="00517946"/>
    <w:rsid w:val="00517C1A"/>
    <w:rsid w:val="005201AB"/>
    <w:rsid w:val="00520861"/>
    <w:rsid w:val="00521161"/>
    <w:rsid w:val="00522211"/>
    <w:rsid w:val="00522640"/>
    <w:rsid w:val="00522A0C"/>
    <w:rsid w:val="00523025"/>
    <w:rsid w:val="005239DB"/>
    <w:rsid w:val="00524F33"/>
    <w:rsid w:val="005255D6"/>
    <w:rsid w:val="00525C42"/>
    <w:rsid w:val="00525EDD"/>
    <w:rsid w:val="00525F56"/>
    <w:rsid w:val="00525F64"/>
    <w:rsid w:val="00525FD5"/>
    <w:rsid w:val="005267BB"/>
    <w:rsid w:val="005278C6"/>
    <w:rsid w:val="00527AA7"/>
    <w:rsid w:val="00527E12"/>
    <w:rsid w:val="00527F32"/>
    <w:rsid w:val="00527FE3"/>
    <w:rsid w:val="005306BB"/>
    <w:rsid w:val="005308DE"/>
    <w:rsid w:val="005311A5"/>
    <w:rsid w:val="005312C6"/>
    <w:rsid w:val="005315CF"/>
    <w:rsid w:val="00531856"/>
    <w:rsid w:val="0053291A"/>
    <w:rsid w:val="0053305A"/>
    <w:rsid w:val="005332E2"/>
    <w:rsid w:val="005338F8"/>
    <w:rsid w:val="00534FF9"/>
    <w:rsid w:val="00535823"/>
    <w:rsid w:val="005358A4"/>
    <w:rsid w:val="00535952"/>
    <w:rsid w:val="005363F6"/>
    <w:rsid w:val="005365D6"/>
    <w:rsid w:val="00536BD1"/>
    <w:rsid w:val="00536D4D"/>
    <w:rsid w:val="005373CF"/>
    <w:rsid w:val="00537EBA"/>
    <w:rsid w:val="005405DE"/>
    <w:rsid w:val="00540FDE"/>
    <w:rsid w:val="00541CD8"/>
    <w:rsid w:val="00541FF2"/>
    <w:rsid w:val="005425A5"/>
    <w:rsid w:val="00542C2E"/>
    <w:rsid w:val="005432F7"/>
    <w:rsid w:val="00543BB9"/>
    <w:rsid w:val="00544AC7"/>
    <w:rsid w:val="0054543D"/>
    <w:rsid w:val="0054547F"/>
    <w:rsid w:val="005455C8"/>
    <w:rsid w:val="00545627"/>
    <w:rsid w:val="0054670F"/>
    <w:rsid w:val="00546C6E"/>
    <w:rsid w:val="00546C96"/>
    <w:rsid w:val="005471DB"/>
    <w:rsid w:val="0054726C"/>
    <w:rsid w:val="005473A2"/>
    <w:rsid w:val="005477FD"/>
    <w:rsid w:val="00547AD8"/>
    <w:rsid w:val="00550276"/>
    <w:rsid w:val="00550DF8"/>
    <w:rsid w:val="00550FE2"/>
    <w:rsid w:val="0055144A"/>
    <w:rsid w:val="0055163A"/>
    <w:rsid w:val="005518CA"/>
    <w:rsid w:val="00551999"/>
    <w:rsid w:val="00551E97"/>
    <w:rsid w:val="005521CE"/>
    <w:rsid w:val="005524C4"/>
    <w:rsid w:val="00553633"/>
    <w:rsid w:val="005536F8"/>
    <w:rsid w:val="005549D2"/>
    <w:rsid w:val="0055533C"/>
    <w:rsid w:val="00555695"/>
    <w:rsid w:val="0055590D"/>
    <w:rsid w:val="00555ED4"/>
    <w:rsid w:val="00556D80"/>
    <w:rsid w:val="00557959"/>
    <w:rsid w:val="00560220"/>
    <w:rsid w:val="005605D0"/>
    <w:rsid w:val="00560D80"/>
    <w:rsid w:val="005610E6"/>
    <w:rsid w:val="0056170C"/>
    <w:rsid w:val="00561CB0"/>
    <w:rsid w:val="00561E65"/>
    <w:rsid w:val="0056216C"/>
    <w:rsid w:val="00562692"/>
    <w:rsid w:val="00562C3E"/>
    <w:rsid w:val="00562EE3"/>
    <w:rsid w:val="0056351F"/>
    <w:rsid w:val="00563892"/>
    <w:rsid w:val="00563C7D"/>
    <w:rsid w:val="00563FEF"/>
    <w:rsid w:val="00564657"/>
    <w:rsid w:val="005646A5"/>
    <w:rsid w:val="005651F0"/>
    <w:rsid w:val="0056521C"/>
    <w:rsid w:val="00565B76"/>
    <w:rsid w:val="005665C7"/>
    <w:rsid w:val="00566BF5"/>
    <w:rsid w:val="0056713A"/>
    <w:rsid w:val="0056720E"/>
    <w:rsid w:val="005702DC"/>
    <w:rsid w:val="0057046A"/>
    <w:rsid w:val="005708A6"/>
    <w:rsid w:val="00570F71"/>
    <w:rsid w:val="00571013"/>
    <w:rsid w:val="0057102F"/>
    <w:rsid w:val="00571801"/>
    <w:rsid w:val="005718AE"/>
    <w:rsid w:val="005718EA"/>
    <w:rsid w:val="00571BD9"/>
    <w:rsid w:val="00571F34"/>
    <w:rsid w:val="005720B3"/>
    <w:rsid w:val="0057265E"/>
    <w:rsid w:val="0057269C"/>
    <w:rsid w:val="005732B1"/>
    <w:rsid w:val="00573CA2"/>
    <w:rsid w:val="00573E0A"/>
    <w:rsid w:val="00573F6D"/>
    <w:rsid w:val="00574382"/>
    <w:rsid w:val="0057447B"/>
    <w:rsid w:val="00574493"/>
    <w:rsid w:val="00574B58"/>
    <w:rsid w:val="00574D19"/>
    <w:rsid w:val="005754E6"/>
    <w:rsid w:val="005759C6"/>
    <w:rsid w:val="00576D21"/>
    <w:rsid w:val="00577884"/>
    <w:rsid w:val="00577F5D"/>
    <w:rsid w:val="0058012C"/>
    <w:rsid w:val="0058137C"/>
    <w:rsid w:val="00581AA0"/>
    <w:rsid w:val="005821EB"/>
    <w:rsid w:val="005824A2"/>
    <w:rsid w:val="005827BA"/>
    <w:rsid w:val="00582FC5"/>
    <w:rsid w:val="00583176"/>
    <w:rsid w:val="005831F0"/>
    <w:rsid w:val="005838FD"/>
    <w:rsid w:val="00583ABE"/>
    <w:rsid w:val="0058409B"/>
    <w:rsid w:val="005843CE"/>
    <w:rsid w:val="00584809"/>
    <w:rsid w:val="00584E8C"/>
    <w:rsid w:val="00585141"/>
    <w:rsid w:val="00585495"/>
    <w:rsid w:val="00585589"/>
    <w:rsid w:val="00585790"/>
    <w:rsid w:val="00585DC3"/>
    <w:rsid w:val="00586514"/>
    <w:rsid w:val="00586F57"/>
    <w:rsid w:val="0058703E"/>
    <w:rsid w:val="00587107"/>
    <w:rsid w:val="005905CD"/>
    <w:rsid w:val="00590700"/>
    <w:rsid w:val="0059114A"/>
    <w:rsid w:val="00591511"/>
    <w:rsid w:val="00591C1E"/>
    <w:rsid w:val="00591F4C"/>
    <w:rsid w:val="00592758"/>
    <w:rsid w:val="00592E2C"/>
    <w:rsid w:val="00592EED"/>
    <w:rsid w:val="00593196"/>
    <w:rsid w:val="0059324B"/>
    <w:rsid w:val="00593393"/>
    <w:rsid w:val="00593554"/>
    <w:rsid w:val="00593CBB"/>
    <w:rsid w:val="00593CE8"/>
    <w:rsid w:val="00594435"/>
    <w:rsid w:val="0059491E"/>
    <w:rsid w:val="0059508B"/>
    <w:rsid w:val="0059545E"/>
    <w:rsid w:val="005955CF"/>
    <w:rsid w:val="00595629"/>
    <w:rsid w:val="00595B43"/>
    <w:rsid w:val="005961D4"/>
    <w:rsid w:val="00596318"/>
    <w:rsid w:val="00596550"/>
    <w:rsid w:val="005966B6"/>
    <w:rsid w:val="00596DC3"/>
    <w:rsid w:val="00596F01"/>
    <w:rsid w:val="005979E6"/>
    <w:rsid w:val="005A0E72"/>
    <w:rsid w:val="005A0EB0"/>
    <w:rsid w:val="005A0FE4"/>
    <w:rsid w:val="005A1459"/>
    <w:rsid w:val="005A1E73"/>
    <w:rsid w:val="005A22E2"/>
    <w:rsid w:val="005A2428"/>
    <w:rsid w:val="005A2CD5"/>
    <w:rsid w:val="005A305C"/>
    <w:rsid w:val="005A31AC"/>
    <w:rsid w:val="005A33A0"/>
    <w:rsid w:val="005A356F"/>
    <w:rsid w:val="005A3663"/>
    <w:rsid w:val="005A4289"/>
    <w:rsid w:val="005A5B30"/>
    <w:rsid w:val="005A6216"/>
    <w:rsid w:val="005A664C"/>
    <w:rsid w:val="005A6ACC"/>
    <w:rsid w:val="005A6B0E"/>
    <w:rsid w:val="005A6B16"/>
    <w:rsid w:val="005A710B"/>
    <w:rsid w:val="005A713E"/>
    <w:rsid w:val="005A72B9"/>
    <w:rsid w:val="005A737A"/>
    <w:rsid w:val="005A7B4C"/>
    <w:rsid w:val="005A7C1F"/>
    <w:rsid w:val="005A7F91"/>
    <w:rsid w:val="005B0057"/>
    <w:rsid w:val="005B0A65"/>
    <w:rsid w:val="005B1350"/>
    <w:rsid w:val="005B14E6"/>
    <w:rsid w:val="005B1E0B"/>
    <w:rsid w:val="005B2564"/>
    <w:rsid w:val="005B27CD"/>
    <w:rsid w:val="005B296C"/>
    <w:rsid w:val="005B2D7A"/>
    <w:rsid w:val="005B35B1"/>
    <w:rsid w:val="005B3BA3"/>
    <w:rsid w:val="005B3FDA"/>
    <w:rsid w:val="005B416B"/>
    <w:rsid w:val="005B46C3"/>
    <w:rsid w:val="005B4A66"/>
    <w:rsid w:val="005B4FA2"/>
    <w:rsid w:val="005B549F"/>
    <w:rsid w:val="005B6143"/>
    <w:rsid w:val="005B6A63"/>
    <w:rsid w:val="005B744B"/>
    <w:rsid w:val="005B7A50"/>
    <w:rsid w:val="005C0104"/>
    <w:rsid w:val="005C0BD5"/>
    <w:rsid w:val="005C1176"/>
    <w:rsid w:val="005C124F"/>
    <w:rsid w:val="005C1272"/>
    <w:rsid w:val="005C1409"/>
    <w:rsid w:val="005C1B28"/>
    <w:rsid w:val="005C21A0"/>
    <w:rsid w:val="005C2D40"/>
    <w:rsid w:val="005C2D5D"/>
    <w:rsid w:val="005C2EDB"/>
    <w:rsid w:val="005C385E"/>
    <w:rsid w:val="005C3CDC"/>
    <w:rsid w:val="005C3D14"/>
    <w:rsid w:val="005C3D72"/>
    <w:rsid w:val="005C3F23"/>
    <w:rsid w:val="005C508E"/>
    <w:rsid w:val="005C59AC"/>
    <w:rsid w:val="005C710D"/>
    <w:rsid w:val="005C718D"/>
    <w:rsid w:val="005C7909"/>
    <w:rsid w:val="005D00BC"/>
    <w:rsid w:val="005D0248"/>
    <w:rsid w:val="005D05CA"/>
    <w:rsid w:val="005D0987"/>
    <w:rsid w:val="005D1121"/>
    <w:rsid w:val="005D1203"/>
    <w:rsid w:val="005D137D"/>
    <w:rsid w:val="005D227B"/>
    <w:rsid w:val="005D2F43"/>
    <w:rsid w:val="005D3082"/>
    <w:rsid w:val="005D353B"/>
    <w:rsid w:val="005D3722"/>
    <w:rsid w:val="005D398E"/>
    <w:rsid w:val="005D467F"/>
    <w:rsid w:val="005D4829"/>
    <w:rsid w:val="005D4C48"/>
    <w:rsid w:val="005D5056"/>
    <w:rsid w:val="005D5135"/>
    <w:rsid w:val="005D51DE"/>
    <w:rsid w:val="005D5342"/>
    <w:rsid w:val="005D5384"/>
    <w:rsid w:val="005D5DC1"/>
    <w:rsid w:val="005D6666"/>
    <w:rsid w:val="005D7025"/>
    <w:rsid w:val="005D7A51"/>
    <w:rsid w:val="005D7C71"/>
    <w:rsid w:val="005E0501"/>
    <w:rsid w:val="005E1750"/>
    <w:rsid w:val="005E1991"/>
    <w:rsid w:val="005E19DD"/>
    <w:rsid w:val="005E2182"/>
    <w:rsid w:val="005E2444"/>
    <w:rsid w:val="005E3476"/>
    <w:rsid w:val="005E3DAB"/>
    <w:rsid w:val="005E450E"/>
    <w:rsid w:val="005E47CD"/>
    <w:rsid w:val="005E4A0C"/>
    <w:rsid w:val="005E4C2B"/>
    <w:rsid w:val="005E4E1C"/>
    <w:rsid w:val="005E4F96"/>
    <w:rsid w:val="005E6918"/>
    <w:rsid w:val="005E7013"/>
    <w:rsid w:val="005F06AA"/>
    <w:rsid w:val="005F0BAD"/>
    <w:rsid w:val="005F0F2D"/>
    <w:rsid w:val="005F1E80"/>
    <w:rsid w:val="005F35C2"/>
    <w:rsid w:val="005F38F2"/>
    <w:rsid w:val="005F41FE"/>
    <w:rsid w:val="005F42A0"/>
    <w:rsid w:val="005F42D4"/>
    <w:rsid w:val="005F4378"/>
    <w:rsid w:val="005F4385"/>
    <w:rsid w:val="005F441D"/>
    <w:rsid w:val="005F4882"/>
    <w:rsid w:val="005F4DD5"/>
    <w:rsid w:val="005F5325"/>
    <w:rsid w:val="005F54F4"/>
    <w:rsid w:val="005F58C2"/>
    <w:rsid w:val="005F5901"/>
    <w:rsid w:val="005F5C1D"/>
    <w:rsid w:val="005F5CB3"/>
    <w:rsid w:val="005F5F27"/>
    <w:rsid w:val="005F5F55"/>
    <w:rsid w:val="005F776D"/>
    <w:rsid w:val="005F7855"/>
    <w:rsid w:val="005F7C17"/>
    <w:rsid w:val="005F7CD1"/>
    <w:rsid w:val="005F7ECD"/>
    <w:rsid w:val="006001C0"/>
    <w:rsid w:val="006002AE"/>
    <w:rsid w:val="006003D2"/>
    <w:rsid w:val="006018EA"/>
    <w:rsid w:val="006020DE"/>
    <w:rsid w:val="0060243F"/>
    <w:rsid w:val="00602A8A"/>
    <w:rsid w:val="00602EE2"/>
    <w:rsid w:val="0060331F"/>
    <w:rsid w:val="00603601"/>
    <w:rsid w:val="0060387F"/>
    <w:rsid w:val="00603A65"/>
    <w:rsid w:val="006041E7"/>
    <w:rsid w:val="006046CB"/>
    <w:rsid w:val="00604827"/>
    <w:rsid w:val="006051FE"/>
    <w:rsid w:val="00605568"/>
    <w:rsid w:val="006064FE"/>
    <w:rsid w:val="006068DC"/>
    <w:rsid w:val="00606E1B"/>
    <w:rsid w:val="00606E6F"/>
    <w:rsid w:val="006071C5"/>
    <w:rsid w:val="006103D0"/>
    <w:rsid w:val="00610E8C"/>
    <w:rsid w:val="00610F69"/>
    <w:rsid w:val="0061130B"/>
    <w:rsid w:val="00611A05"/>
    <w:rsid w:val="00612D17"/>
    <w:rsid w:val="00612E2A"/>
    <w:rsid w:val="006135BB"/>
    <w:rsid w:val="0061378F"/>
    <w:rsid w:val="00613925"/>
    <w:rsid w:val="00613E15"/>
    <w:rsid w:val="00614219"/>
    <w:rsid w:val="00614B37"/>
    <w:rsid w:val="00614BA3"/>
    <w:rsid w:val="00614C11"/>
    <w:rsid w:val="00616CEC"/>
    <w:rsid w:val="00620A44"/>
    <w:rsid w:val="00620EBC"/>
    <w:rsid w:val="0062137D"/>
    <w:rsid w:val="00621B7D"/>
    <w:rsid w:val="00621FF7"/>
    <w:rsid w:val="0062275C"/>
    <w:rsid w:val="0062368E"/>
    <w:rsid w:val="00623C50"/>
    <w:rsid w:val="006245AE"/>
    <w:rsid w:val="006246B1"/>
    <w:rsid w:val="0062485D"/>
    <w:rsid w:val="006249A1"/>
    <w:rsid w:val="00624D8F"/>
    <w:rsid w:val="006261BC"/>
    <w:rsid w:val="00626323"/>
    <w:rsid w:val="0062643E"/>
    <w:rsid w:val="00626470"/>
    <w:rsid w:val="00626879"/>
    <w:rsid w:val="00627C44"/>
    <w:rsid w:val="00630295"/>
    <w:rsid w:val="00630C67"/>
    <w:rsid w:val="0063100D"/>
    <w:rsid w:val="006319DD"/>
    <w:rsid w:val="00631F57"/>
    <w:rsid w:val="006320CD"/>
    <w:rsid w:val="006321EE"/>
    <w:rsid w:val="0063237B"/>
    <w:rsid w:val="0063274D"/>
    <w:rsid w:val="00632A04"/>
    <w:rsid w:val="00632E90"/>
    <w:rsid w:val="0063345D"/>
    <w:rsid w:val="00633CA3"/>
    <w:rsid w:val="00633FCC"/>
    <w:rsid w:val="00633FF2"/>
    <w:rsid w:val="0063446B"/>
    <w:rsid w:val="006344B3"/>
    <w:rsid w:val="0063470E"/>
    <w:rsid w:val="00634A04"/>
    <w:rsid w:val="00634ACA"/>
    <w:rsid w:val="00634CAC"/>
    <w:rsid w:val="00634CEF"/>
    <w:rsid w:val="00634F05"/>
    <w:rsid w:val="00635039"/>
    <w:rsid w:val="00635BF8"/>
    <w:rsid w:val="006361EA"/>
    <w:rsid w:val="006365D6"/>
    <w:rsid w:val="00636694"/>
    <w:rsid w:val="00636999"/>
    <w:rsid w:val="00636C99"/>
    <w:rsid w:val="00636ED2"/>
    <w:rsid w:val="00637876"/>
    <w:rsid w:val="00637905"/>
    <w:rsid w:val="00637996"/>
    <w:rsid w:val="00640293"/>
    <w:rsid w:val="006403FF"/>
    <w:rsid w:val="00641240"/>
    <w:rsid w:val="0064129F"/>
    <w:rsid w:val="00641702"/>
    <w:rsid w:val="00641AB0"/>
    <w:rsid w:val="00641AFD"/>
    <w:rsid w:val="0064220E"/>
    <w:rsid w:val="006423F1"/>
    <w:rsid w:val="00642460"/>
    <w:rsid w:val="006431BE"/>
    <w:rsid w:val="0064340E"/>
    <w:rsid w:val="00643608"/>
    <w:rsid w:val="00643B17"/>
    <w:rsid w:val="00644C51"/>
    <w:rsid w:val="00644D94"/>
    <w:rsid w:val="00644E8E"/>
    <w:rsid w:val="0064523B"/>
    <w:rsid w:val="0064540D"/>
    <w:rsid w:val="006456A1"/>
    <w:rsid w:val="00645C2F"/>
    <w:rsid w:val="00645C50"/>
    <w:rsid w:val="00646289"/>
    <w:rsid w:val="00646B27"/>
    <w:rsid w:val="00646B3F"/>
    <w:rsid w:val="00646BA8"/>
    <w:rsid w:val="0065040B"/>
    <w:rsid w:val="00650BCB"/>
    <w:rsid w:val="00650D76"/>
    <w:rsid w:val="00650FC6"/>
    <w:rsid w:val="006519A9"/>
    <w:rsid w:val="00652322"/>
    <w:rsid w:val="006536DA"/>
    <w:rsid w:val="006536E9"/>
    <w:rsid w:val="00653B02"/>
    <w:rsid w:val="00653F7D"/>
    <w:rsid w:val="006546B1"/>
    <w:rsid w:val="006557C5"/>
    <w:rsid w:val="00655A73"/>
    <w:rsid w:val="00655FC4"/>
    <w:rsid w:val="00655FDA"/>
    <w:rsid w:val="006564E2"/>
    <w:rsid w:val="00656699"/>
    <w:rsid w:val="00656B23"/>
    <w:rsid w:val="006571B5"/>
    <w:rsid w:val="006573E3"/>
    <w:rsid w:val="00657566"/>
    <w:rsid w:val="00657A13"/>
    <w:rsid w:val="00657B5B"/>
    <w:rsid w:val="00657E3E"/>
    <w:rsid w:val="00660507"/>
    <w:rsid w:val="00660BCD"/>
    <w:rsid w:val="00660EF4"/>
    <w:rsid w:val="00661003"/>
    <w:rsid w:val="0066136D"/>
    <w:rsid w:val="006613BB"/>
    <w:rsid w:val="006616BF"/>
    <w:rsid w:val="006619F2"/>
    <w:rsid w:val="0066237F"/>
    <w:rsid w:val="00662781"/>
    <w:rsid w:val="00662BB7"/>
    <w:rsid w:val="00662EFE"/>
    <w:rsid w:val="0066336D"/>
    <w:rsid w:val="00663381"/>
    <w:rsid w:val="0066348C"/>
    <w:rsid w:val="00664544"/>
    <w:rsid w:val="00664AB7"/>
    <w:rsid w:val="00665080"/>
    <w:rsid w:val="006654E9"/>
    <w:rsid w:val="0066556D"/>
    <w:rsid w:val="0066565C"/>
    <w:rsid w:val="00665B26"/>
    <w:rsid w:val="00665D45"/>
    <w:rsid w:val="00666197"/>
    <w:rsid w:val="006661D1"/>
    <w:rsid w:val="006668AB"/>
    <w:rsid w:val="00666ABD"/>
    <w:rsid w:val="00667722"/>
    <w:rsid w:val="006709B6"/>
    <w:rsid w:val="00670CC8"/>
    <w:rsid w:val="00670E54"/>
    <w:rsid w:val="00672529"/>
    <w:rsid w:val="00672650"/>
    <w:rsid w:val="0067309E"/>
    <w:rsid w:val="0067314A"/>
    <w:rsid w:val="0067440B"/>
    <w:rsid w:val="0067474E"/>
    <w:rsid w:val="006747A2"/>
    <w:rsid w:val="006754F5"/>
    <w:rsid w:val="006758A0"/>
    <w:rsid w:val="00675CEE"/>
    <w:rsid w:val="00676022"/>
    <w:rsid w:val="00676CB7"/>
    <w:rsid w:val="00676DD6"/>
    <w:rsid w:val="00677D51"/>
    <w:rsid w:val="00681280"/>
    <w:rsid w:val="006816F5"/>
    <w:rsid w:val="0068221B"/>
    <w:rsid w:val="00682C89"/>
    <w:rsid w:val="00682E4A"/>
    <w:rsid w:val="00683842"/>
    <w:rsid w:val="00683919"/>
    <w:rsid w:val="00683BF1"/>
    <w:rsid w:val="00683D9C"/>
    <w:rsid w:val="0068401E"/>
    <w:rsid w:val="006841E7"/>
    <w:rsid w:val="006845C5"/>
    <w:rsid w:val="00685742"/>
    <w:rsid w:val="006859E7"/>
    <w:rsid w:val="0068637B"/>
    <w:rsid w:val="00686B3B"/>
    <w:rsid w:val="00687CA3"/>
    <w:rsid w:val="00687D5F"/>
    <w:rsid w:val="0069017F"/>
    <w:rsid w:val="00690296"/>
    <w:rsid w:val="006905F0"/>
    <w:rsid w:val="006908BC"/>
    <w:rsid w:val="00690D24"/>
    <w:rsid w:val="00690D5B"/>
    <w:rsid w:val="00690FD0"/>
    <w:rsid w:val="00691345"/>
    <w:rsid w:val="006913DE"/>
    <w:rsid w:val="00691C25"/>
    <w:rsid w:val="00691D63"/>
    <w:rsid w:val="00692E7F"/>
    <w:rsid w:val="00692FA1"/>
    <w:rsid w:val="00693C79"/>
    <w:rsid w:val="00693FDC"/>
    <w:rsid w:val="00694A8D"/>
    <w:rsid w:val="00694ABA"/>
    <w:rsid w:val="00694C48"/>
    <w:rsid w:val="0069546F"/>
    <w:rsid w:val="006954E0"/>
    <w:rsid w:val="00695AA2"/>
    <w:rsid w:val="00696388"/>
    <w:rsid w:val="006964A1"/>
    <w:rsid w:val="00696506"/>
    <w:rsid w:val="00696C02"/>
    <w:rsid w:val="00696CC6"/>
    <w:rsid w:val="00697153"/>
    <w:rsid w:val="00697A41"/>
    <w:rsid w:val="00697C31"/>
    <w:rsid w:val="006A0023"/>
    <w:rsid w:val="006A037D"/>
    <w:rsid w:val="006A04DF"/>
    <w:rsid w:val="006A0779"/>
    <w:rsid w:val="006A0D94"/>
    <w:rsid w:val="006A0F2A"/>
    <w:rsid w:val="006A1554"/>
    <w:rsid w:val="006A327A"/>
    <w:rsid w:val="006A32E2"/>
    <w:rsid w:val="006A3594"/>
    <w:rsid w:val="006A400B"/>
    <w:rsid w:val="006A44F4"/>
    <w:rsid w:val="006A582D"/>
    <w:rsid w:val="006A5B5E"/>
    <w:rsid w:val="006A6F6E"/>
    <w:rsid w:val="006A7015"/>
    <w:rsid w:val="006A7280"/>
    <w:rsid w:val="006A782A"/>
    <w:rsid w:val="006A7B1F"/>
    <w:rsid w:val="006A7B38"/>
    <w:rsid w:val="006A7D41"/>
    <w:rsid w:val="006B07BA"/>
    <w:rsid w:val="006B104E"/>
    <w:rsid w:val="006B12C5"/>
    <w:rsid w:val="006B13B5"/>
    <w:rsid w:val="006B177C"/>
    <w:rsid w:val="006B1893"/>
    <w:rsid w:val="006B1ED0"/>
    <w:rsid w:val="006B1F54"/>
    <w:rsid w:val="006B2522"/>
    <w:rsid w:val="006B3561"/>
    <w:rsid w:val="006B379A"/>
    <w:rsid w:val="006B3DB1"/>
    <w:rsid w:val="006B3F45"/>
    <w:rsid w:val="006B4AE4"/>
    <w:rsid w:val="006B4EE7"/>
    <w:rsid w:val="006B553E"/>
    <w:rsid w:val="006B5544"/>
    <w:rsid w:val="006B566D"/>
    <w:rsid w:val="006B598E"/>
    <w:rsid w:val="006B5AAE"/>
    <w:rsid w:val="006B5D33"/>
    <w:rsid w:val="006B5DA9"/>
    <w:rsid w:val="006B60B1"/>
    <w:rsid w:val="006B6BD2"/>
    <w:rsid w:val="006B6F3A"/>
    <w:rsid w:val="006B72B2"/>
    <w:rsid w:val="006B72C8"/>
    <w:rsid w:val="006B7B8C"/>
    <w:rsid w:val="006B7E1B"/>
    <w:rsid w:val="006C00BF"/>
    <w:rsid w:val="006C0D72"/>
    <w:rsid w:val="006C119E"/>
    <w:rsid w:val="006C149D"/>
    <w:rsid w:val="006C1B04"/>
    <w:rsid w:val="006C2211"/>
    <w:rsid w:val="006C32AC"/>
    <w:rsid w:val="006C342C"/>
    <w:rsid w:val="006C3C8A"/>
    <w:rsid w:val="006C3F88"/>
    <w:rsid w:val="006C46E9"/>
    <w:rsid w:val="006C4C61"/>
    <w:rsid w:val="006C582C"/>
    <w:rsid w:val="006C5873"/>
    <w:rsid w:val="006C5A11"/>
    <w:rsid w:val="006C5C82"/>
    <w:rsid w:val="006C74C9"/>
    <w:rsid w:val="006D0AA5"/>
    <w:rsid w:val="006D0C27"/>
    <w:rsid w:val="006D10B8"/>
    <w:rsid w:val="006D1602"/>
    <w:rsid w:val="006D17C0"/>
    <w:rsid w:val="006D195C"/>
    <w:rsid w:val="006D1CDB"/>
    <w:rsid w:val="006D1F4B"/>
    <w:rsid w:val="006D20B7"/>
    <w:rsid w:val="006D2128"/>
    <w:rsid w:val="006D2E9B"/>
    <w:rsid w:val="006D2F47"/>
    <w:rsid w:val="006D315A"/>
    <w:rsid w:val="006D31C9"/>
    <w:rsid w:val="006D332E"/>
    <w:rsid w:val="006D3E59"/>
    <w:rsid w:val="006D41F4"/>
    <w:rsid w:val="006D43B5"/>
    <w:rsid w:val="006D555F"/>
    <w:rsid w:val="006D604B"/>
    <w:rsid w:val="006D6089"/>
    <w:rsid w:val="006D6093"/>
    <w:rsid w:val="006D6411"/>
    <w:rsid w:val="006D650C"/>
    <w:rsid w:val="006D67B7"/>
    <w:rsid w:val="006D689A"/>
    <w:rsid w:val="006D74D0"/>
    <w:rsid w:val="006D77DC"/>
    <w:rsid w:val="006D78B4"/>
    <w:rsid w:val="006E0359"/>
    <w:rsid w:val="006E085B"/>
    <w:rsid w:val="006E27EF"/>
    <w:rsid w:val="006E2AAD"/>
    <w:rsid w:val="006E2BE4"/>
    <w:rsid w:val="006E3486"/>
    <w:rsid w:val="006E34C8"/>
    <w:rsid w:val="006E3603"/>
    <w:rsid w:val="006E45EA"/>
    <w:rsid w:val="006E4A80"/>
    <w:rsid w:val="006E4CDD"/>
    <w:rsid w:val="006E506C"/>
    <w:rsid w:val="006E5786"/>
    <w:rsid w:val="006E67C2"/>
    <w:rsid w:val="006E69C0"/>
    <w:rsid w:val="006E6DC7"/>
    <w:rsid w:val="006E6E9E"/>
    <w:rsid w:val="006E748E"/>
    <w:rsid w:val="006E7841"/>
    <w:rsid w:val="006E7EF6"/>
    <w:rsid w:val="006E7F14"/>
    <w:rsid w:val="006F041E"/>
    <w:rsid w:val="006F05C5"/>
    <w:rsid w:val="006F06D2"/>
    <w:rsid w:val="006F09F1"/>
    <w:rsid w:val="006F0D0D"/>
    <w:rsid w:val="006F0D67"/>
    <w:rsid w:val="006F15D4"/>
    <w:rsid w:val="006F1A71"/>
    <w:rsid w:val="006F1D0D"/>
    <w:rsid w:val="006F1D3E"/>
    <w:rsid w:val="006F1D95"/>
    <w:rsid w:val="006F1FA2"/>
    <w:rsid w:val="006F305C"/>
    <w:rsid w:val="006F356A"/>
    <w:rsid w:val="006F3828"/>
    <w:rsid w:val="006F3A9A"/>
    <w:rsid w:val="006F3ABB"/>
    <w:rsid w:val="006F3CCA"/>
    <w:rsid w:val="006F3CCB"/>
    <w:rsid w:val="006F3E17"/>
    <w:rsid w:val="006F432C"/>
    <w:rsid w:val="006F4A4A"/>
    <w:rsid w:val="006F4AC9"/>
    <w:rsid w:val="006F5179"/>
    <w:rsid w:val="006F5DD6"/>
    <w:rsid w:val="006F5F85"/>
    <w:rsid w:val="006F6DE8"/>
    <w:rsid w:val="0070046B"/>
    <w:rsid w:val="00700AB0"/>
    <w:rsid w:val="00700F67"/>
    <w:rsid w:val="00701E3B"/>
    <w:rsid w:val="00702049"/>
    <w:rsid w:val="00702995"/>
    <w:rsid w:val="00702A71"/>
    <w:rsid w:val="00702DE4"/>
    <w:rsid w:val="007044EA"/>
    <w:rsid w:val="0070474E"/>
    <w:rsid w:val="00704C44"/>
    <w:rsid w:val="00704D60"/>
    <w:rsid w:val="007051F9"/>
    <w:rsid w:val="00705227"/>
    <w:rsid w:val="00705645"/>
    <w:rsid w:val="007059B7"/>
    <w:rsid w:val="0070615E"/>
    <w:rsid w:val="007074F5"/>
    <w:rsid w:val="00707588"/>
    <w:rsid w:val="00707792"/>
    <w:rsid w:val="00707DB4"/>
    <w:rsid w:val="00710505"/>
    <w:rsid w:val="00710924"/>
    <w:rsid w:val="007110CF"/>
    <w:rsid w:val="00711D15"/>
    <w:rsid w:val="00711EFD"/>
    <w:rsid w:val="007121D7"/>
    <w:rsid w:val="00713536"/>
    <w:rsid w:val="007136B3"/>
    <w:rsid w:val="007136E3"/>
    <w:rsid w:val="00713825"/>
    <w:rsid w:val="00713AC0"/>
    <w:rsid w:val="00713F3E"/>
    <w:rsid w:val="00714403"/>
    <w:rsid w:val="0071462B"/>
    <w:rsid w:val="007147E1"/>
    <w:rsid w:val="00714D72"/>
    <w:rsid w:val="007158F9"/>
    <w:rsid w:val="00715D4B"/>
    <w:rsid w:val="0071604B"/>
    <w:rsid w:val="00716323"/>
    <w:rsid w:val="0071632E"/>
    <w:rsid w:val="007169BD"/>
    <w:rsid w:val="00717494"/>
    <w:rsid w:val="00717B29"/>
    <w:rsid w:val="00717E21"/>
    <w:rsid w:val="00720216"/>
    <w:rsid w:val="00720AC2"/>
    <w:rsid w:val="00720F87"/>
    <w:rsid w:val="0072128C"/>
    <w:rsid w:val="0072130B"/>
    <w:rsid w:val="0072198B"/>
    <w:rsid w:val="00721E79"/>
    <w:rsid w:val="00722512"/>
    <w:rsid w:val="007227F9"/>
    <w:rsid w:val="007229C6"/>
    <w:rsid w:val="00722AD5"/>
    <w:rsid w:val="00723215"/>
    <w:rsid w:val="00724FDB"/>
    <w:rsid w:val="007259DB"/>
    <w:rsid w:val="00725A8F"/>
    <w:rsid w:val="007278F0"/>
    <w:rsid w:val="00727B99"/>
    <w:rsid w:val="007307A1"/>
    <w:rsid w:val="00730BBB"/>
    <w:rsid w:val="00730D9C"/>
    <w:rsid w:val="00730DB3"/>
    <w:rsid w:val="00731865"/>
    <w:rsid w:val="0073196F"/>
    <w:rsid w:val="00731B4A"/>
    <w:rsid w:val="00731E42"/>
    <w:rsid w:val="00731EF3"/>
    <w:rsid w:val="00732240"/>
    <w:rsid w:val="007322B2"/>
    <w:rsid w:val="00732CA9"/>
    <w:rsid w:val="00733186"/>
    <w:rsid w:val="00733E62"/>
    <w:rsid w:val="007348B9"/>
    <w:rsid w:val="00734E62"/>
    <w:rsid w:val="00735871"/>
    <w:rsid w:val="00735E9F"/>
    <w:rsid w:val="007369A5"/>
    <w:rsid w:val="00737082"/>
    <w:rsid w:val="007371F9"/>
    <w:rsid w:val="00737833"/>
    <w:rsid w:val="00740132"/>
    <w:rsid w:val="00740898"/>
    <w:rsid w:val="00741361"/>
    <w:rsid w:val="00741585"/>
    <w:rsid w:val="00741F36"/>
    <w:rsid w:val="00741FFD"/>
    <w:rsid w:val="007427D6"/>
    <w:rsid w:val="00742A5F"/>
    <w:rsid w:val="00742B9D"/>
    <w:rsid w:val="00742D2A"/>
    <w:rsid w:val="00743856"/>
    <w:rsid w:val="00743A4D"/>
    <w:rsid w:val="00743BF4"/>
    <w:rsid w:val="00744084"/>
    <w:rsid w:val="00744198"/>
    <w:rsid w:val="007453EA"/>
    <w:rsid w:val="00745F6B"/>
    <w:rsid w:val="0074763D"/>
    <w:rsid w:val="007479CB"/>
    <w:rsid w:val="00747E8E"/>
    <w:rsid w:val="00750133"/>
    <w:rsid w:val="00750DC4"/>
    <w:rsid w:val="00750E77"/>
    <w:rsid w:val="00751162"/>
    <w:rsid w:val="007511A5"/>
    <w:rsid w:val="0075179F"/>
    <w:rsid w:val="00751B55"/>
    <w:rsid w:val="00751C85"/>
    <w:rsid w:val="007522EE"/>
    <w:rsid w:val="00752B00"/>
    <w:rsid w:val="007534A1"/>
    <w:rsid w:val="007537AF"/>
    <w:rsid w:val="007539C6"/>
    <w:rsid w:val="00754071"/>
    <w:rsid w:val="0075408E"/>
    <w:rsid w:val="00754C73"/>
    <w:rsid w:val="00755363"/>
    <w:rsid w:val="007556E8"/>
    <w:rsid w:val="00755745"/>
    <w:rsid w:val="00756014"/>
    <w:rsid w:val="00756226"/>
    <w:rsid w:val="00756272"/>
    <w:rsid w:val="007566D5"/>
    <w:rsid w:val="007575BB"/>
    <w:rsid w:val="00757BE7"/>
    <w:rsid w:val="007610FC"/>
    <w:rsid w:val="007611CB"/>
    <w:rsid w:val="00761677"/>
    <w:rsid w:val="007619DE"/>
    <w:rsid w:val="00761DA0"/>
    <w:rsid w:val="00761EB3"/>
    <w:rsid w:val="00762144"/>
    <w:rsid w:val="0076236F"/>
    <w:rsid w:val="007623B5"/>
    <w:rsid w:val="007624AB"/>
    <w:rsid w:val="007625D2"/>
    <w:rsid w:val="0076281F"/>
    <w:rsid w:val="007629C5"/>
    <w:rsid w:val="00762B52"/>
    <w:rsid w:val="007630D9"/>
    <w:rsid w:val="007633FF"/>
    <w:rsid w:val="0076363F"/>
    <w:rsid w:val="00764134"/>
    <w:rsid w:val="007642DE"/>
    <w:rsid w:val="0076436A"/>
    <w:rsid w:val="007644A3"/>
    <w:rsid w:val="0076488E"/>
    <w:rsid w:val="00764D5D"/>
    <w:rsid w:val="007650F1"/>
    <w:rsid w:val="007658A2"/>
    <w:rsid w:val="00765AD8"/>
    <w:rsid w:val="00765D34"/>
    <w:rsid w:val="007661D8"/>
    <w:rsid w:val="00766510"/>
    <w:rsid w:val="007666B1"/>
    <w:rsid w:val="00766751"/>
    <w:rsid w:val="0076706A"/>
    <w:rsid w:val="00767C66"/>
    <w:rsid w:val="00767DBC"/>
    <w:rsid w:val="00767FBC"/>
    <w:rsid w:val="00770171"/>
    <w:rsid w:val="00770581"/>
    <w:rsid w:val="00770910"/>
    <w:rsid w:val="00770A8C"/>
    <w:rsid w:val="007710F4"/>
    <w:rsid w:val="007713E1"/>
    <w:rsid w:val="00771585"/>
    <w:rsid w:val="00772121"/>
    <w:rsid w:val="00772194"/>
    <w:rsid w:val="007729F2"/>
    <w:rsid w:val="00774C3B"/>
    <w:rsid w:val="00775293"/>
    <w:rsid w:val="007752FA"/>
    <w:rsid w:val="007755A2"/>
    <w:rsid w:val="00775EF1"/>
    <w:rsid w:val="007769D7"/>
    <w:rsid w:val="007772B1"/>
    <w:rsid w:val="0077759F"/>
    <w:rsid w:val="00780173"/>
    <w:rsid w:val="0078033A"/>
    <w:rsid w:val="0078042F"/>
    <w:rsid w:val="00780FF1"/>
    <w:rsid w:val="0078144C"/>
    <w:rsid w:val="00781467"/>
    <w:rsid w:val="00781F97"/>
    <w:rsid w:val="0078212F"/>
    <w:rsid w:val="007827C4"/>
    <w:rsid w:val="00782C63"/>
    <w:rsid w:val="00782E59"/>
    <w:rsid w:val="0078306C"/>
    <w:rsid w:val="0078311B"/>
    <w:rsid w:val="007833BD"/>
    <w:rsid w:val="00783880"/>
    <w:rsid w:val="007838E7"/>
    <w:rsid w:val="00783E4B"/>
    <w:rsid w:val="00784159"/>
    <w:rsid w:val="00784771"/>
    <w:rsid w:val="00785711"/>
    <w:rsid w:val="00785825"/>
    <w:rsid w:val="0078698C"/>
    <w:rsid w:val="00786BE2"/>
    <w:rsid w:val="00786E7A"/>
    <w:rsid w:val="00787532"/>
    <w:rsid w:val="00787CBC"/>
    <w:rsid w:val="00787FE5"/>
    <w:rsid w:val="00791418"/>
    <w:rsid w:val="00791983"/>
    <w:rsid w:val="00791B63"/>
    <w:rsid w:val="00795221"/>
    <w:rsid w:val="0079540D"/>
    <w:rsid w:val="007963A2"/>
    <w:rsid w:val="00796B00"/>
    <w:rsid w:val="00796B81"/>
    <w:rsid w:val="00797077"/>
    <w:rsid w:val="00797153"/>
    <w:rsid w:val="007974A5"/>
    <w:rsid w:val="0079772C"/>
    <w:rsid w:val="00797923"/>
    <w:rsid w:val="00797C1D"/>
    <w:rsid w:val="00797CBA"/>
    <w:rsid w:val="007A020C"/>
    <w:rsid w:val="007A03E2"/>
    <w:rsid w:val="007A0526"/>
    <w:rsid w:val="007A0BB2"/>
    <w:rsid w:val="007A23DB"/>
    <w:rsid w:val="007A2BC3"/>
    <w:rsid w:val="007A2D16"/>
    <w:rsid w:val="007A377C"/>
    <w:rsid w:val="007A4625"/>
    <w:rsid w:val="007A5B6D"/>
    <w:rsid w:val="007A5BD9"/>
    <w:rsid w:val="007A6640"/>
    <w:rsid w:val="007A681B"/>
    <w:rsid w:val="007A6910"/>
    <w:rsid w:val="007A6A19"/>
    <w:rsid w:val="007A7E18"/>
    <w:rsid w:val="007B0210"/>
    <w:rsid w:val="007B0608"/>
    <w:rsid w:val="007B06F5"/>
    <w:rsid w:val="007B0A45"/>
    <w:rsid w:val="007B0A84"/>
    <w:rsid w:val="007B0E26"/>
    <w:rsid w:val="007B2A55"/>
    <w:rsid w:val="007B2C5E"/>
    <w:rsid w:val="007B2D51"/>
    <w:rsid w:val="007B2F7F"/>
    <w:rsid w:val="007B2FED"/>
    <w:rsid w:val="007B3B0A"/>
    <w:rsid w:val="007B3C1E"/>
    <w:rsid w:val="007B3E2A"/>
    <w:rsid w:val="007B51B1"/>
    <w:rsid w:val="007B6515"/>
    <w:rsid w:val="007B6582"/>
    <w:rsid w:val="007B6E56"/>
    <w:rsid w:val="007B71A1"/>
    <w:rsid w:val="007C0119"/>
    <w:rsid w:val="007C023E"/>
    <w:rsid w:val="007C03E7"/>
    <w:rsid w:val="007C0A1C"/>
    <w:rsid w:val="007C1095"/>
    <w:rsid w:val="007C1281"/>
    <w:rsid w:val="007C1386"/>
    <w:rsid w:val="007C1661"/>
    <w:rsid w:val="007C1B33"/>
    <w:rsid w:val="007C2045"/>
    <w:rsid w:val="007C298E"/>
    <w:rsid w:val="007C2B44"/>
    <w:rsid w:val="007C3097"/>
    <w:rsid w:val="007C3D6A"/>
    <w:rsid w:val="007C4738"/>
    <w:rsid w:val="007C492A"/>
    <w:rsid w:val="007C4F6D"/>
    <w:rsid w:val="007C5263"/>
    <w:rsid w:val="007C617D"/>
    <w:rsid w:val="007C61AA"/>
    <w:rsid w:val="007C653D"/>
    <w:rsid w:val="007C668C"/>
    <w:rsid w:val="007C683F"/>
    <w:rsid w:val="007C7D95"/>
    <w:rsid w:val="007D085B"/>
    <w:rsid w:val="007D1838"/>
    <w:rsid w:val="007D1935"/>
    <w:rsid w:val="007D1C0D"/>
    <w:rsid w:val="007D1F48"/>
    <w:rsid w:val="007D221F"/>
    <w:rsid w:val="007D369E"/>
    <w:rsid w:val="007D3C61"/>
    <w:rsid w:val="007D3ED4"/>
    <w:rsid w:val="007D3EED"/>
    <w:rsid w:val="007D4328"/>
    <w:rsid w:val="007D433E"/>
    <w:rsid w:val="007D503F"/>
    <w:rsid w:val="007D513B"/>
    <w:rsid w:val="007D5167"/>
    <w:rsid w:val="007D56E9"/>
    <w:rsid w:val="007D5A8D"/>
    <w:rsid w:val="007D605C"/>
    <w:rsid w:val="007D60D8"/>
    <w:rsid w:val="007D6667"/>
    <w:rsid w:val="007D6CFE"/>
    <w:rsid w:val="007D74DC"/>
    <w:rsid w:val="007E08EE"/>
    <w:rsid w:val="007E0904"/>
    <w:rsid w:val="007E1AF5"/>
    <w:rsid w:val="007E1D73"/>
    <w:rsid w:val="007E1F54"/>
    <w:rsid w:val="007E214C"/>
    <w:rsid w:val="007E2727"/>
    <w:rsid w:val="007E2B1B"/>
    <w:rsid w:val="007E3C61"/>
    <w:rsid w:val="007E493A"/>
    <w:rsid w:val="007E4C8B"/>
    <w:rsid w:val="007E5859"/>
    <w:rsid w:val="007E6882"/>
    <w:rsid w:val="007E6902"/>
    <w:rsid w:val="007E706D"/>
    <w:rsid w:val="007E736E"/>
    <w:rsid w:val="007E7833"/>
    <w:rsid w:val="007E7BEB"/>
    <w:rsid w:val="007F0523"/>
    <w:rsid w:val="007F070B"/>
    <w:rsid w:val="007F07DF"/>
    <w:rsid w:val="007F1EBC"/>
    <w:rsid w:val="007F2977"/>
    <w:rsid w:val="007F29F0"/>
    <w:rsid w:val="007F2D14"/>
    <w:rsid w:val="007F3255"/>
    <w:rsid w:val="007F388C"/>
    <w:rsid w:val="007F3E37"/>
    <w:rsid w:val="007F446C"/>
    <w:rsid w:val="007F4DE9"/>
    <w:rsid w:val="007F5521"/>
    <w:rsid w:val="007F5846"/>
    <w:rsid w:val="007F61E4"/>
    <w:rsid w:val="007F63DE"/>
    <w:rsid w:val="007F6998"/>
    <w:rsid w:val="007F6C2D"/>
    <w:rsid w:val="007F6D00"/>
    <w:rsid w:val="007F7022"/>
    <w:rsid w:val="007F70AA"/>
    <w:rsid w:val="00800F08"/>
    <w:rsid w:val="0080177C"/>
    <w:rsid w:val="00801F83"/>
    <w:rsid w:val="00803078"/>
    <w:rsid w:val="00803596"/>
    <w:rsid w:val="0080408E"/>
    <w:rsid w:val="008041AD"/>
    <w:rsid w:val="008044B5"/>
    <w:rsid w:val="0080542C"/>
    <w:rsid w:val="00805558"/>
    <w:rsid w:val="00805610"/>
    <w:rsid w:val="008056D9"/>
    <w:rsid w:val="00806D50"/>
    <w:rsid w:val="008074F0"/>
    <w:rsid w:val="00807707"/>
    <w:rsid w:val="00807A4B"/>
    <w:rsid w:val="008100FC"/>
    <w:rsid w:val="0081111A"/>
    <w:rsid w:val="008133ED"/>
    <w:rsid w:val="00813524"/>
    <w:rsid w:val="008143E3"/>
    <w:rsid w:val="008149BA"/>
    <w:rsid w:val="008149DE"/>
    <w:rsid w:val="00815044"/>
    <w:rsid w:val="0081563A"/>
    <w:rsid w:val="00815B5F"/>
    <w:rsid w:val="00816100"/>
    <w:rsid w:val="008164A2"/>
    <w:rsid w:val="00816E99"/>
    <w:rsid w:val="00816FD5"/>
    <w:rsid w:val="00817697"/>
    <w:rsid w:val="00817C0E"/>
    <w:rsid w:val="00817EA9"/>
    <w:rsid w:val="008210E1"/>
    <w:rsid w:val="00821470"/>
    <w:rsid w:val="0082171E"/>
    <w:rsid w:val="008217E5"/>
    <w:rsid w:val="00821864"/>
    <w:rsid w:val="00821962"/>
    <w:rsid w:val="00821C3E"/>
    <w:rsid w:val="008229AF"/>
    <w:rsid w:val="008233DB"/>
    <w:rsid w:val="008246F6"/>
    <w:rsid w:val="00824844"/>
    <w:rsid w:val="00824BC9"/>
    <w:rsid w:val="00825806"/>
    <w:rsid w:val="008259E6"/>
    <w:rsid w:val="00825D2B"/>
    <w:rsid w:val="0082640F"/>
    <w:rsid w:val="00826B32"/>
    <w:rsid w:val="00826EDD"/>
    <w:rsid w:val="0082755B"/>
    <w:rsid w:val="008278C0"/>
    <w:rsid w:val="0082796B"/>
    <w:rsid w:val="00827A2D"/>
    <w:rsid w:val="00827B78"/>
    <w:rsid w:val="0083054E"/>
    <w:rsid w:val="008306EB"/>
    <w:rsid w:val="00830DAF"/>
    <w:rsid w:val="008310E6"/>
    <w:rsid w:val="0083133D"/>
    <w:rsid w:val="0083159F"/>
    <w:rsid w:val="00831CBF"/>
    <w:rsid w:val="00831FA4"/>
    <w:rsid w:val="00832012"/>
    <w:rsid w:val="00832119"/>
    <w:rsid w:val="0083303B"/>
    <w:rsid w:val="008333B6"/>
    <w:rsid w:val="00833563"/>
    <w:rsid w:val="00834027"/>
    <w:rsid w:val="00834F53"/>
    <w:rsid w:val="00834FE0"/>
    <w:rsid w:val="0083538A"/>
    <w:rsid w:val="00835C14"/>
    <w:rsid w:val="00835D94"/>
    <w:rsid w:val="00835DFB"/>
    <w:rsid w:val="00836342"/>
    <w:rsid w:val="00836924"/>
    <w:rsid w:val="00836B11"/>
    <w:rsid w:val="00837190"/>
    <w:rsid w:val="008376C6"/>
    <w:rsid w:val="008379A9"/>
    <w:rsid w:val="00837A29"/>
    <w:rsid w:val="0084018B"/>
    <w:rsid w:val="00840288"/>
    <w:rsid w:val="00840438"/>
    <w:rsid w:val="00840DE9"/>
    <w:rsid w:val="00840E6A"/>
    <w:rsid w:val="0084154C"/>
    <w:rsid w:val="00841648"/>
    <w:rsid w:val="00841A8A"/>
    <w:rsid w:val="00841D9D"/>
    <w:rsid w:val="00841F58"/>
    <w:rsid w:val="0084248A"/>
    <w:rsid w:val="00842AE1"/>
    <w:rsid w:val="00842B3D"/>
    <w:rsid w:val="008437A3"/>
    <w:rsid w:val="00843A98"/>
    <w:rsid w:val="008442B4"/>
    <w:rsid w:val="0084438E"/>
    <w:rsid w:val="008455DB"/>
    <w:rsid w:val="00845853"/>
    <w:rsid w:val="0084693F"/>
    <w:rsid w:val="00846B7D"/>
    <w:rsid w:val="00846D42"/>
    <w:rsid w:val="00846EE4"/>
    <w:rsid w:val="0084783C"/>
    <w:rsid w:val="00847FAB"/>
    <w:rsid w:val="00847FF0"/>
    <w:rsid w:val="0085022E"/>
    <w:rsid w:val="00850520"/>
    <w:rsid w:val="00850916"/>
    <w:rsid w:val="00850936"/>
    <w:rsid w:val="00850EB1"/>
    <w:rsid w:val="0085112D"/>
    <w:rsid w:val="008517CA"/>
    <w:rsid w:val="00852C78"/>
    <w:rsid w:val="00852CC6"/>
    <w:rsid w:val="00852CC7"/>
    <w:rsid w:val="00852D24"/>
    <w:rsid w:val="00853399"/>
    <w:rsid w:val="00853E1C"/>
    <w:rsid w:val="00854EB6"/>
    <w:rsid w:val="0085544C"/>
    <w:rsid w:val="0085575C"/>
    <w:rsid w:val="00855CAE"/>
    <w:rsid w:val="00855EF6"/>
    <w:rsid w:val="00856A9D"/>
    <w:rsid w:val="00856EED"/>
    <w:rsid w:val="00856F6F"/>
    <w:rsid w:val="00857636"/>
    <w:rsid w:val="00857A63"/>
    <w:rsid w:val="00860181"/>
    <w:rsid w:val="00860254"/>
    <w:rsid w:val="00860272"/>
    <w:rsid w:val="00860286"/>
    <w:rsid w:val="008606CF"/>
    <w:rsid w:val="008610D5"/>
    <w:rsid w:val="00861743"/>
    <w:rsid w:val="00861983"/>
    <w:rsid w:val="00861C18"/>
    <w:rsid w:val="00861EB2"/>
    <w:rsid w:val="00862D56"/>
    <w:rsid w:val="0086433A"/>
    <w:rsid w:val="00864620"/>
    <w:rsid w:val="008646DC"/>
    <w:rsid w:val="008651DE"/>
    <w:rsid w:val="0086548D"/>
    <w:rsid w:val="00865556"/>
    <w:rsid w:val="00865E93"/>
    <w:rsid w:val="00866417"/>
    <w:rsid w:val="0086665D"/>
    <w:rsid w:val="00866753"/>
    <w:rsid w:val="00866D1C"/>
    <w:rsid w:val="0086718F"/>
    <w:rsid w:val="00867B90"/>
    <w:rsid w:val="00870417"/>
    <w:rsid w:val="00870D31"/>
    <w:rsid w:val="00871EA6"/>
    <w:rsid w:val="00871F69"/>
    <w:rsid w:val="00872393"/>
    <w:rsid w:val="008728CF"/>
    <w:rsid w:val="00873223"/>
    <w:rsid w:val="00873707"/>
    <w:rsid w:val="00874380"/>
    <w:rsid w:val="00874457"/>
    <w:rsid w:val="00874689"/>
    <w:rsid w:val="00874692"/>
    <w:rsid w:val="00874FC0"/>
    <w:rsid w:val="00875240"/>
    <w:rsid w:val="008778B9"/>
    <w:rsid w:val="00877D62"/>
    <w:rsid w:val="00877DBD"/>
    <w:rsid w:val="0088095A"/>
    <w:rsid w:val="00880BF4"/>
    <w:rsid w:val="008810B2"/>
    <w:rsid w:val="008810BC"/>
    <w:rsid w:val="0088141D"/>
    <w:rsid w:val="00881693"/>
    <w:rsid w:val="008816B8"/>
    <w:rsid w:val="0088181A"/>
    <w:rsid w:val="008823F3"/>
    <w:rsid w:val="00882922"/>
    <w:rsid w:val="00882BAC"/>
    <w:rsid w:val="0088326B"/>
    <w:rsid w:val="00883B36"/>
    <w:rsid w:val="0088405B"/>
    <w:rsid w:val="00884538"/>
    <w:rsid w:val="00884721"/>
    <w:rsid w:val="0088483B"/>
    <w:rsid w:val="00885F42"/>
    <w:rsid w:val="00886724"/>
    <w:rsid w:val="008870EA"/>
    <w:rsid w:val="0088778D"/>
    <w:rsid w:val="00887BE2"/>
    <w:rsid w:val="00887C99"/>
    <w:rsid w:val="00887ECD"/>
    <w:rsid w:val="00890041"/>
    <w:rsid w:val="00890889"/>
    <w:rsid w:val="0089157E"/>
    <w:rsid w:val="008926EA"/>
    <w:rsid w:val="008935F3"/>
    <w:rsid w:val="008938D4"/>
    <w:rsid w:val="00893C87"/>
    <w:rsid w:val="00894178"/>
    <w:rsid w:val="008945F9"/>
    <w:rsid w:val="00895250"/>
    <w:rsid w:val="00895472"/>
    <w:rsid w:val="00895C1D"/>
    <w:rsid w:val="00895E85"/>
    <w:rsid w:val="00895F83"/>
    <w:rsid w:val="008963DA"/>
    <w:rsid w:val="008966FA"/>
    <w:rsid w:val="00896A80"/>
    <w:rsid w:val="008974C0"/>
    <w:rsid w:val="008A04C0"/>
    <w:rsid w:val="008A0A3D"/>
    <w:rsid w:val="008A0A48"/>
    <w:rsid w:val="008A0F05"/>
    <w:rsid w:val="008A1703"/>
    <w:rsid w:val="008A1E01"/>
    <w:rsid w:val="008A2083"/>
    <w:rsid w:val="008A2916"/>
    <w:rsid w:val="008A36AB"/>
    <w:rsid w:val="008A40DA"/>
    <w:rsid w:val="008A41CC"/>
    <w:rsid w:val="008A473C"/>
    <w:rsid w:val="008A48E1"/>
    <w:rsid w:val="008A4CED"/>
    <w:rsid w:val="008A4F00"/>
    <w:rsid w:val="008A5172"/>
    <w:rsid w:val="008A563D"/>
    <w:rsid w:val="008A5A8E"/>
    <w:rsid w:val="008A5AC1"/>
    <w:rsid w:val="008A64EC"/>
    <w:rsid w:val="008A723F"/>
    <w:rsid w:val="008A7597"/>
    <w:rsid w:val="008A7BB6"/>
    <w:rsid w:val="008A7D07"/>
    <w:rsid w:val="008B0193"/>
    <w:rsid w:val="008B01E8"/>
    <w:rsid w:val="008B031F"/>
    <w:rsid w:val="008B0431"/>
    <w:rsid w:val="008B06E8"/>
    <w:rsid w:val="008B077F"/>
    <w:rsid w:val="008B1C47"/>
    <w:rsid w:val="008B2C76"/>
    <w:rsid w:val="008B2FD5"/>
    <w:rsid w:val="008B3484"/>
    <w:rsid w:val="008B34C5"/>
    <w:rsid w:val="008B3DFD"/>
    <w:rsid w:val="008B41D1"/>
    <w:rsid w:val="008B4230"/>
    <w:rsid w:val="008B4ACD"/>
    <w:rsid w:val="008B5082"/>
    <w:rsid w:val="008B5596"/>
    <w:rsid w:val="008B55DD"/>
    <w:rsid w:val="008B56A7"/>
    <w:rsid w:val="008B663D"/>
    <w:rsid w:val="008B6EB5"/>
    <w:rsid w:val="008B7183"/>
    <w:rsid w:val="008B734E"/>
    <w:rsid w:val="008B7CA9"/>
    <w:rsid w:val="008B7DD5"/>
    <w:rsid w:val="008C0730"/>
    <w:rsid w:val="008C0BB8"/>
    <w:rsid w:val="008C1223"/>
    <w:rsid w:val="008C15CF"/>
    <w:rsid w:val="008C21CD"/>
    <w:rsid w:val="008C220A"/>
    <w:rsid w:val="008C24B8"/>
    <w:rsid w:val="008C2657"/>
    <w:rsid w:val="008C28D4"/>
    <w:rsid w:val="008C2CC9"/>
    <w:rsid w:val="008C385B"/>
    <w:rsid w:val="008C3B75"/>
    <w:rsid w:val="008C47EB"/>
    <w:rsid w:val="008C4B3A"/>
    <w:rsid w:val="008C514D"/>
    <w:rsid w:val="008C532D"/>
    <w:rsid w:val="008C72F0"/>
    <w:rsid w:val="008C7347"/>
    <w:rsid w:val="008C74AD"/>
    <w:rsid w:val="008C7862"/>
    <w:rsid w:val="008D06EB"/>
    <w:rsid w:val="008D07A6"/>
    <w:rsid w:val="008D09E8"/>
    <w:rsid w:val="008D0AD4"/>
    <w:rsid w:val="008D10E4"/>
    <w:rsid w:val="008D183E"/>
    <w:rsid w:val="008D188F"/>
    <w:rsid w:val="008D1ABD"/>
    <w:rsid w:val="008D2028"/>
    <w:rsid w:val="008D3A4D"/>
    <w:rsid w:val="008D3A8A"/>
    <w:rsid w:val="008D3CE8"/>
    <w:rsid w:val="008D47DE"/>
    <w:rsid w:val="008D4824"/>
    <w:rsid w:val="008D5A90"/>
    <w:rsid w:val="008D6159"/>
    <w:rsid w:val="008D6A1B"/>
    <w:rsid w:val="008D6E2B"/>
    <w:rsid w:val="008D7401"/>
    <w:rsid w:val="008D7CB2"/>
    <w:rsid w:val="008D7EEC"/>
    <w:rsid w:val="008E06EF"/>
    <w:rsid w:val="008E077A"/>
    <w:rsid w:val="008E0B01"/>
    <w:rsid w:val="008E14F6"/>
    <w:rsid w:val="008E1534"/>
    <w:rsid w:val="008E1FF6"/>
    <w:rsid w:val="008E2BF2"/>
    <w:rsid w:val="008E2E10"/>
    <w:rsid w:val="008E2FE7"/>
    <w:rsid w:val="008E31C4"/>
    <w:rsid w:val="008E32A8"/>
    <w:rsid w:val="008E3721"/>
    <w:rsid w:val="008E39AF"/>
    <w:rsid w:val="008E39B2"/>
    <w:rsid w:val="008E4733"/>
    <w:rsid w:val="008E4F49"/>
    <w:rsid w:val="008E5476"/>
    <w:rsid w:val="008E6540"/>
    <w:rsid w:val="008E6CA6"/>
    <w:rsid w:val="008E7198"/>
    <w:rsid w:val="008E73F1"/>
    <w:rsid w:val="008E7527"/>
    <w:rsid w:val="008E76FF"/>
    <w:rsid w:val="008F046F"/>
    <w:rsid w:val="008F19BD"/>
    <w:rsid w:val="008F1ED7"/>
    <w:rsid w:val="008F232A"/>
    <w:rsid w:val="008F2432"/>
    <w:rsid w:val="008F2905"/>
    <w:rsid w:val="008F2BB9"/>
    <w:rsid w:val="008F2DEA"/>
    <w:rsid w:val="008F33FD"/>
    <w:rsid w:val="008F39D1"/>
    <w:rsid w:val="008F41AF"/>
    <w:rsid w:val="008F4335"/>
    <w:rsid w:val="008F4437"/>
    <w:rsid w:val="008F5026"/>
    <w:rsid w:val="008F58A8"/>
    <w:rsid w:val="008F5938"/>
    <w:rsid w:val="008F5CEE"/>
    <w:rsid w:val="008F6151"/>
    <w:rsid w:val="008F6C58"/>
    <w:rsid w:val="008F74E7"/>
    <w:rsid w:val="008F7B10"/>
    <w:rsid w:val="00900733"/>
    <w:rsid w:val="00900DAC"/>
    <w:rsid w:val="00900E57"/>
    <w:rsid w:val="00900FA9"/>
    <w:rsid w:val="009012EB"/>
    <w:rsid w:val="00901B22"/>
    <w:rsid w:val="00901D78"/>
    <w:rsid w:val="00902107"/>
    <w:rsid w:val="00902684"/>
    <w:rsid w:val="00902835"/>
    <w:rsid w:val="009033A5"/>
    <w:rsid w:val="00903AF5"/>
    <w:rsid w:val="00903E47"/>
    <w:rsid w:val="00903EAE"/>
    <w:rsid w:val="00904206"/>
    <w:rsid w:val="009042AE"/>
    <w:rsid w:val="00904B60"/>
    <w:rsid w:val="0090534F"/>
    <w:rsid w:val="0090561B"/>
    <w:rsid w:val="00905C15"/>
    <w:rsid w:val="00905D70"/>
    <w:rsid w:val="009062B1"/>
    <w:rsid w:val="00906542"/>
    <w:rsid w:val="00906703"/>
    <w:rsid w:val="00907B00"/>
    <w:rsid w:val="00910256"/>
    <w:rsid w:val="009104BE"/>
    <w:rsid w:val="00911206"/>
    <w:rsid w:val="00911938"/>
    <w:rsid w:val="0091201C"/>
    <w:rsid w:val="0091343E"/>
    <w:rsid w:val="00913A7A"/>
    <w:rsid w:val="00913B46"/>
    <w:rsid w:val="00914A02"/>
    <w:rsid w:val="00914B3E"/>
    <w:rsid w:val="00915241"/>
    <w:rsid w:val="009153B4"/>
    <w:rsid w:val="009159F0"/>
    <w:rsid w:val="0091606F"/>
    <w:rsid w:val="00916367"/>
    <w:rsid w:val="00916E2E"/>
    <w:rsid w:val="009171C4"/>
    <w:rsid w:val="009200E4"/>
    <w:rsid w:val="009203AC"/>
    <w:rsid w:val="00920A34"/>
    <w:rsid w:val="00920AAF"/>
    <w:rsid w:val="00920B9B"/>
    <w:rsid w:val="00921819"/>
    <w:rsid w:val="00922B55"/>
    <w:rsid w:val="00922F50"/>
    <w:rsid w:val="0092339B"/>
    <w:rsid w:val="009234FE"/>
    <w:rsid w:val="00923CBF"/>
    <w:rsid w:val="0092424E"/>
    <w:rsid w:val="009249DC"/>
    <w:rsid w:val="009249FB"/>
    <w:rsid w:val="00924C08"/>
    <w:rsid w:val="00926386"/>
    <w:rsid w:val="00926716"/>
    <w:rsid w:val="009268C1"/>
    <w:rsid w:val="00927783"/>
    <w:rsid w:val="00927847"/>
    <w:rsid w:val="0092785F"/>
    <w:rsid w:val="00927ADB"/>
    <w:rsid w:val="009316E1"/>
    <w:rsid w:val="00931B25"/>
    <w:rsid w:val="0093238F"/>
    <w:rsid w:val="00932754"/>
    <w:rsid w:val="00932B43"/>
    <w:rsid w:val="009331C3"/>
    <w:rsid w:val="0093470A"/>
    <w:rsid w:val="00934967"/>
    <w:rsid w:val="00934A3F"/>
    <w:rsid w:val="00935AB6"/>
    <w:rsid w:val="00935F20"/>
    <w:rsid w:val="009363A9"/>
    <w:rsid w:val="00936425"/>
    <w:rsid w:val="00936E4D"/>
    <w:rsid w:val="00937E99"/>
    <w:rsid w:val="00937F58"/>
    <w:rsid w:val="00940119"/>
    <w:rsid w:val="00940EC5"/>
    <w:rsid w:val="00940FAE"/>
    <w:rsid w:val="00941107"/>
    <w:rsid w:val="009429E7"/>
    <w:rsid w:val="00944600"/>
    <w:rsid w:val="0094492C"/>
    <w:rsid w:val="00944CAB"/>
    <w:rsid w:val="00944DA4"/>
    <w:rsid w:val="009457EA"/>
    <w:rsid w:val="00946309"/>
    <w:rsid w:val="0094660E"/>
    <w:rsid w:val="009468F6"/>
    <w:rsid w:val="00946E16"/>
    <w:rsid w:val="0095106F"/>
    <w:rsid w:val="009515FA"/>
    <w:rsid w:val="0095164F"/>
    <w:rsid w:val="00951BB1"/>
    <w:rsid w:val="0095226B"/>
    <w:rsid w:val="009522EB"/>
    <w:rsid w:val="00952804"/>
    <w:rsid w:val="00953336"/>
    <w:rsid w:val="00953381"/>
    <w:rsid w:val="009534E6"/>
    <w:rsid w:val="009536E9"/>
    <w:rsid w:val="00953B5B"/>
    <w:rsid w:val="00954320"/>
    <w:rsid w:val="00954A06"/>
    <w:rsid w:val="00954A5F"/>
    <w:rsid w:val="0095574A"/>
    <w:rsid w:val="00956F04"/>
    <w:rsid w:val="00956F54"/>
    <w:rsid w:val="009577D2"/>
    <w:rsid w:val="0095793E"/>
    <w:rsid w:val="00957ACB"/>
    <w:rsid w:val="00960205"/>
    <w:rsid w:val="00960273"/>
    <w:rsid w:val="0096096C"/>
    <w:rsid w:val="009609C6"/>
    <w:rsid w:val="009618B4"/>
    <w:rsid w:val="00961FC3"/>
    <w:rsid w:val="00962118"/>
    <w:rsid w:val="00962C06"/>
    <w:rsid w:val="00963438"/>
    <w:rsid w:val="0096381D"/>
    <w:rsid w:val="0096382B"/>
    <w:rsid w:val="00963964"/>
    <w:rsid w:val="00963B3A"/>
    <w:rsid w:val="00963E27"/>
    <w:rsid w:val="00963EC1"/>
    <w:rsid w:val="009642AC"/>
    <w:rsid w:val="0096432C"/>
    <w:rsid w:val="00965C30"/>
    <w:rsid w:val="009672BD"/>
    <w:rsid w:val="00967357"/>
    <w:rsid w:val="009675CB"/>
    <w:rsid w:val="00967ABA"/>
    <w:rsid w:val="009703C3"/>
    <w:rsid w:val="0097097C"/>
    <w:rsid w:val="00971061"/>
    <w:rsid w:val="0097138E"/>
    <w:rsid w:val="00971954"/>
    <w:rsid w:val="00971BD8"/>
    <w:rsid w:val="00972332"/>
    <w:rsid w:val="00972613"/>
    <w:rsid w:val="009727E0"/>
    <w:rsid w:val="00972845"/>
    <w:rsid w:val="009728BB"/>
    <w:rsid w:val="00972FDD"/>
    <w:rsid w:val="00973144"/>
    <w:rsid w:val="00973394"/>
    <w:rsid w:val="00973895"/>
    <w:rsid w:val="00974117"/>
    <w:rsid w:val="0097425C"/>
    <w:rsid w:val="009743D4"/>
    <w:rsid w:val="00974790"/>
    <w:rsid w:val="00974B01"/>
    <w:rsid w:val="00975771"/>
    <w:rsid w:val="00976A98"/>
    <w:rsid w:val="00976C0C"/>
    <w:rsid w:val="00976FFB"/>
    <w:rsid w:val="0097740D"/>
    <w:rsid w:val="0097765E"/>
    <w:rsid w:val="0098014F"/>
    <w:rsid w:val="00980161"/>
    <w:rsid w:val="009801F1"/>
    <w:rsid w:val="009808C4"/>
    <w:rsid w:val="00980991"/>
    <w:rsid w:val="00980CC2"/>
    <w:rsid w:val="00981064"/>
    <w:rsid w:val="00981401"/>
    <w:rsid w:val="009826AA"/>
    <w:rsid w:val="00982C14"/>
    <w:rsid w:val="00983613"/>
    <w:rsid w:val="00983981"/>
    <w:rsid w:val="00984134"/>
    <w:rsid w:val="00984208"/>
    <w:rsid w:val="009842D7"/>
    <w:rsid w:val="009846A8"/>
    <w:rsid w:val="0098473E"/>
    <w:rsid w:val="00984B19"/>
    <w:rsid w:val="00984B26"/>
    <w:rsid w:val="00984B9F"/>
    <w:rsid w:val="00985163"/>
    <w:rsid w:val="00985542"/>
    <w:rsid w:val="00985774"/>
    <w:rsid w:val="009857C5"/>
    <w:rsid w:val="009858A8"/>
    <w:rsid w:val="009858B8"/>
    <w:rsid w:val="00985A7C"/>
    <w:rsid w:val="00985EDA"/>
    <w:rsid w:val="00986196"/>
    <w:rsid w:val="00986623"/>
    <w:rsid w:val="00987324"/>
    <w:rsid w:val="00987E40"/>
    <w:rsid w:val="00990C56"/>
    <w:rsid w:val="00990C83"/>
    <w:rsid w:val="00991405"/>
    <w:rsid w:val="009917DF"/>
    <w:rsid w:val="00991DC6"/>
    <w:rsid w:val="00991E8C"/>
    <w:rsid w:val="00992271"/>
    <w:rsid w:val="0099248E"/>
    <w:rsid w:val="00992780"/>
    <w:rsid w:val="009927A5"/>
    <w:rsid w:val="00993047"/>
    <w:rsid w:val="00993159"/>
    <w:rsid w:val="0099354D"/>
    <w:rsid w:val="009948FD"/>
    <w:rsid w:val="00994A3F"/>
    <w:rsid w:val="00994C67"/>
    <w:rsid w:val="00995474"/>
    <w:rsid w:val="009957C8"/>
    <w:rsid w:val="00997367"/>
    <w:rsid w:val="00997669"/>
    <w:rsid w:val="00997901"/>
    <w:rsid w:val="00997DE9"/>
    <w:rsid w:val="009A00A0"/>
    <w:rsid w:val="009A09F1"/>
    <w:rsid w:val="009A0A55"/>
    <w:rsid w:val="009A0ABE"/>
    <w:rsid w:val="009A16EA"/>
    <w:rsid w:val="009A196F"/>
    <w:rsid w:val="009A23B8"/>
    <w:rsid w:val="009A3941"/>
    <w:rsid w:val="009A3A45"/>
    <w:rsid w:val="009A3B1C"/>
    <w:rsid w:val="009A40D2"/>
    <w:rsid w:val="009A5390"/>
    <w:rsid w:val="009A551D"/>
    <w:rsid w:val="009A5B45"/>
    <w:rsid w:val="009A714B"/>
    <w:rsid w:val="009A72C7"/>
    <w:rsid w:val="009B02FF"/>
    <w:rsid w:val="009B12F9"/>
    <w:rsid w:val="009B1800"/>
    <w:rsid w:val="009B2914"/>
    <w:rsid w:val="009B3056"/>
    <w:rsid w:val="009B317A"/>
    <w:rsid w:val="009B3466"/>
    <w:rsid w:val="009B3A37"/>
    <w:rsid w:val="009B3B24"/>
    <w:rsid w:val="009B3E03"/>
    <w:rsid w:val="009B4194"/>
    <w:rsid w:val="009B4A86"/>
    <w:rsid w:val="009B4D01"/>
    <w:rsid w:val="009B5202"/>
    <w:rsid w:val="009B5586"/>
    <w:rsid w:val="009B589C"/>
    <w:rsid w:val="009B5EAE"/>
    <w:rsid w:val="009B64D2"/>
    <w:rsid w:val="009B6521"/>
    <w:rsid w:val="009B6648"/>
    <w:rsid w:val="009B6CC7"/>
    <w:rsid w:val="009C03AA"/>
    <w:rsid w:val="009C03E2"/>
    <w:rsid w:val="009C0BD4"/>
    <w:rsid w:val="009C108F"/>
    <w:rsid w:val="009C1188"/>
    <w:rsid w:val="009C25FF"/>
    <w:rsid w:val="009C26C5"/>
    <w:rsid w:val="009C2EB3"/>
    <w:rsid w:val="009C3663"/>
    <w:rsid w:val="009C3750"/>
    <w:rsid w:val="009C3E55"/>
    <w:rsid w:val="009C41C5"/>
    <w:rsid w:val="009C48D4"/>
    <w:rsid w:val="009C4ADC"/>
    <w:rsid w:val="009C4F01"/>
    <w:rsid w:val="009C5178"/>
    <w:rsid w:val="009C5634"/>
    <w:rsid w:val="009C57AB"/>
    <w:rsid w:val="009C580D"/>
    <w:rsid w:val="009C5F31"/>
    <w:rsid w:val="009C67B9"/>
    <w:rsid w:val="009C6CE3"/>
    <w:rsid w:val="009C6EF6"/>
    <w:rsid w:val="009C73AE"/>
    <w:rsid w:val="009C78F7"/>
    <w:rsid w:val="009C7A65"/>
    <w:rsid w:val="009D09FA"/>
    <w:rsid w:val="009D1115"/>
    <w:rsid w:val="009D1DAF"/>
    <w:rsid w:val="009D1E78"/>
    <w:rsid w:val="009D22CE"/>
    <w:rsid w:val="009D278C"/>
    <w:rsid w:val="009D2DBE"/>
    <w:rsid w:val="009D35EF"/>
    <w:rsid w:val="009D36CD"/>
    <w:rsid w:val="009D3DC9"/>
    <w:rsid w:val="009D3F9E"/>
    <w:rsid w:val="009D4590"/>
    <w:rsid w:val="009D45EA"/>
    <w:rsid w:val="009D4AAC"/>
    <w:rsid w:val="009D5313"/>
    <w:rsid w:val="009D555F"/>
    <w:rsid w:val="009D5B5A"/>
    <w:rsid w:val="009D5CE7"/>
    <w:rsid w:val="009D5D09"/>
    <w:rsid w:val="009D5EB1"/>
    <w:rsid w:val="009D64CA"/>
    <w:rsid w:val="009D6578"/>
    <w:rsid w:val="009D6645"/>
    <w:rsid w:val="009D6ED5"/>
    <w:rsid w:val="009D6FDB"/>
    <w:rsid w:val="009D79DD"/>
    <w:rsid w:val="009E0526"/>
    <w:rsid w:val="009E0B02"/>
    <w:rsid w:val="009E0D6D"/>
    <w:rsid w:val="009E2714"/>
    <w:rsid w:val="009E289F"/>
    <w:rsid w:val="009E2C41"/>
    <w:rsid w:val="009E2D01"/>
    <w:rsid w:val="009E2FE7"/>
    <w:rsid w:val="009E31D3"/>
    <w:rsid w:val="009E37CA"/>
    <w:rsid w:val="009E4F86"/>
    <w:rsid w:val="009E5142"/>
    <w:rsid w:val="009E51EE"/>
    <w:rsid w:val="009E53B0"/>
    <w:rsid w:val="009E5A89"/>
    <w:rsid w:val="009E6F74"/>
    <w:rsid w:val="009E70B3"/>
    <w:rsid w:val="009E73E4"/>
    <w:rsid w:val="009E78CD"/>
    <w:rsid w:val="009E7ACE"/>
    <w:rsid w:val="009E7E62"/>
    <w:rsid w:val="009F0833"/>
    <w:rsid w:val="009F08CC"/>
    <w:rsid w:val="009F0B65"/>
    <w:rsid w:val="009F10F0"/>
    <w:rsid w:val="009F17C4"/>
    <w:rsid w:val="009F22C7"/>
    <w:rsid w:val="009F2A38"/>
    <w:rsid w:val="009F2F7C"/>
    <w:rsid w:val="009F3524"/>
    <w:rsid w:val="009F35E2"/>
    <w:rsid w:val="009F3A9F"/>
    <w:rsid w:val="009F431F"/>
    <w:rsid w:val="009F45CA"/>
    <w:rsid w:val="009F4F95"/>
    <w:rsid w:val="009F6590"/>
    <w:rsid w:val="009F6940"/>
    <w:rsid w:val="009F6FCC"/>
    <w:rsid w:val="009F77D0"/>
    <w:rsid w:val="009F7F9A"/>
    <w:rsid w:val="00A016FA"/>
    <w:rsid w:val="00A0196A"/>
    <w:rsid w:val="00A02E7D"/>
    <w:rsid w:val="00A02ED5"/>
    <w:rsid w:val="00A03036"/>
    <w:rsid w:val="00A034D8"/>
    <w:rsid w:val="00A03711"/>
    <w:rsid w:val="00A038DD"/>
    <w:rsid w:val="00A04BF6"/>
    <w:rsid w:val="00A04EF9"/>
    <w:rsid w:val="00A053BD"/>
    <w:rsid w:val="00A0573A"/>
    <w:rsid w:val="00A06FC6"/>
    <w:rsid w:val="00A070B4"/>
    <w:rsid w:val="00A0738A"/>
    <w:rsid w:val="00A1019E"/>
    <w:rsid w:val="00A104CE"/>
    <w:rsid w:val="00A1053E"/>
    <w:rsid w:val="00A11120"/>
    <w:rsid w:val="00A113AC"/>
    <w:rsid w:val="00A11B7C"/>
    <w:rsid w:val="00A12581"/>
    <w:rsid w:val="00A1298D"/>
    <w:rsid w:val="00A129EC"/>
    <w:rsid w:val="00A12AFA"/>
    <w:rsid w:val="00A12B5A"/>
    <w:rsid w:val="00A135F8"/>
    <w:rsid w:val="00A13A83"/>
    <w:rsid w:val="00A14B9C"/>
    <w:rsid w:val="00A14BDC"/>
    <w:rsid w:val="00A150E7"/>
    <w:rsid w:val="00A151EF"/>
    <w:rsid w:val="00A152D9"/>
    <w:rsid w:val="00A163F5"/>
    <w:rsid w:val="00A165C8"/>
    <w:rsid w:val="00A168D1"/>
    <w:rsid w:val="00A169A1"/>
    <w:rsid w:val="00A1703C"/>
    <w:rsid w:val="00A17566"/>
    <w:rsid w:val="00A1790E"/>
    <w:rsid w:val="00A17C13"/>
    <w:rsid w:val="00A17E35"/>
    <w:rsid w:val="00A20C1B"/>
    <w:rsid w:val="00A21350"/>
    <w:rsid w:val="00A22225"/>
    <w:rsid w:val="00A23E74"/>
    <w:rsid w:val="00A23FB0"/>
    <w:rsid w:val="00A24029"/>
    <w:rsid w:val="00A2438B"/>
    <w:rsid w:val="00A243F3"/>
    <w:rsid w:val="00A2492E"/>
    <w:rsid w:val="00A251D5"/>
    <w:rsid w:val="00A255D0"/>
    <w:rsid w:val="00A26339"/>
    <w:rsid w:val="00A2703A"/>
    <w:rsid w:val="00A277A5"/>
    <w:rsid w:val="00A301A2"/>
    <w:rsid w:val="00A309EA"/>
    <w:rsid w:val="00A30F89"/>
    <w:rsid w:val="00A31FC3"/>
    <w:rsid w:val="00A32161"/>
    <w:rsid w:val="00A326A0"/>
    <w:rsid w:val="00A3275A"/>
    <w:rsid w:val="00A32FFE"/>
    <w:rsid w:val="00A3367B"/>
    <w:rsid w:val="00A339BC"/>
    <w:rsid w:val="00A3470F"/>
    <w:rsid w:val="00A34A0F"/>
    <w:rsid w:val="00A34C32"/>
    <w:rsid w:val="00A350CB"/>
    <w:rsid w:val="00A352BD"/>
    <w:rsid w:val="00A35A71"/>
    <w:rsid w:val="00A35ACA"/>
    <w:rsid w:val="00A3623A"/>
    <w:rsid w:val="00A36CF1"/>
    <w:rsid w:val="00A37A9F"/>
    <w:rsid w:val="00A37E30"/>
    <w:rsid w:val="00A400F0"/>
    <w:rsid w:val="00A41191"/>
    <w:rsid w:val="00A41AA4"/>
    <w:rsid w:val="00A41DD5"/>
    <w:rsid w:val="00A4202E"/>
    <w:rsid w:val="00A42388"/>
    <w:rsid w:val="00A42C9E"/>
    <w:rsid w:val="00A43473"/>
    <w:rsid w:val="00A437DC"/>
    <w:rsid w:val="00A43B73"/>
    <w:rsid w:val="00A44028"/>
    <w:rsid w:val="00A44037"/>
    <w:rsid w:val="00A44993"/>
    <w:rsid w:val="00A44EAD"/>
    <w:rsid w:val="00A45087"/>
    <w:rsid w:val="00A451C5"/>
    <w:rsid w:val="00A4543A"/>
    <w:rsid w:val="00A455EE"/>
    <w:rsid w:val="00A45607"/>
    <w:rsid w:val="00A45DE0"/>
    <w:rsid w:val="00A45E58"/>
    <w:rsid w:val="00A46111"/>
    <w:rsid w:val="00A50997"/>
    <w:rsid w:val="00A50ADD"/>
    <w:rsid w:val="00A50D16"/>
    <w:rsid w:val="00A50FA3"/>
    <w:rsid w:val="00A5142D"/>
    <w:rsid w:val="00A5149D"/>
    <w:rsid w:val="00A51711"/>
    <w:rsid w:val="00A51759"/>
    <w:rsid w:val="00A51A7B"/>
    <w:rsid w:val="00A51DB2"/>
    <w:rsid w:val="00A5277F"/>
    <w:rsid w:val="00A54056"/>
    <w:rsid w:val="00A5440E"/>
    <w:rsid w:val="00A55BFF"/>
    <w:rsid w:val="00A55F2F"/>
    <w:rsid w:val="00A56127"/>
    <w:rsid w:val="00A56D0A"/>
    <w:rsid w:val="00A61426"/>
    <w:rsid w:val="00A62403"/>
    <w:rsid w:val="00A628A5"/>
    <w:rsid w:val="00A62C8E"/>
    <w:rsid w:val="00A62CE1"/>
    <w:rsid w:val="00A62D01"/>
    <w:rsid w:val="00A6303B"/>
    <w:rsid w:val="00A63A8D"/>
    <w:rsid w:val="00A63F25"/>
    <w:rsid w:val="00A652ED"/>
    <w:rsid w:val="00A6549F"/>
    <w:rsid w:val="00A657F5"/>
    <w:rsid w:val="00A66DBF"/>
    <w:rsid w:val="00A67620"/>
    <w:rsid w:val="00A676B4"/>
    <w:rsid w:val="00A67A35"/>
    <w:rsid w:val="00A7030E"/>
    <w:rsid w:val="00A70BD7"/>
    <w:rsid w:val="00A70CEB"/>
    <w:rsid w:val="00A70F13"/>
    <w:rsid w:val="00A70FC8"/>
    <w:rsid w:val="00A713CF"/>
    <w:rsid w:val="00A719A3"/>
    <w:rsid w:val="00A719BE"/>
    <w:rsid w:val="00A71B03"/>
    <w:rsid w:val="00A71BD0"/>
    <w:rsid w:val="00A71EDC"/>
    <w:rsid w:val="00A72510"/>
    <w:rsid w:val="00A7288D"/>
    <w:rsid w:val="00A72B26"/>
    <w:rsid w:val="00A72B2D"/>
    <w:rsid w:val="00A72F69"/>
    <w:rsid w:val="00A7357D"/>
    <w:rsid w:val="00A7362A"/>
    <w:rsid w:val="00A73953"/>
    <w:rsid w:val="00A74578"/>
    <w:rsid w:val="00A74AB9"/>
    <w:rsid w:val="00A75305"/>
    <w:rsid w:val="00A7561E"/>
    <w:rsid w:val="00A7578C"/>
    <w:rsid w:val="00A75896"/>
    <w:rsid w:val="00A76F18"/>
    <w:rsid w:val="00A7722A"/>
    <w:rsid w:val="00A7788E"/>
    <w:rsid w:val="00A77BD4"/>
    <w:rsid w:val="00A80261"/>
    <w:rsid w:val="00A803E8"/>
    <w:rsid w:val="00A80616"/>
    <w:rsid w:val="00A8099A"/>
    <w:rsid w:val="00A80F74"/>
    <w:rsid w:val="00A812F3"/>
    <w:rsid w:val="00A8133C"/>
    <w:rsid w:val="00A81EC4"/>
    <w:rsid w:val="00A82160"/>
    <w:rsid w:val="00A82F10"/>
    <w:rsid w:val="00A835E7"/>
    <w:rsid w:val="00A836D8"/>
    <w:rsid w:val="00A838FA"/>
    <w:rsid w:val="00A83B37"/>
    <w:rsid w:val="00A83F49"/>
    <w:rsid w:val="00A84027"/>
    <w:rsid w:val="00A8493F"/>
    <w:rsid w:val="00A84C11"/>
    <w:rsid w:val="00A851FD"/>
    <w:rsid w:val="00A85484"/>
    <w:rsid w:val="00A855D7"/>
    <w:rsid w:val="00A85ED1"/>
    <w:rsid w:val="00A85EEE"/>
    <w:rsid w:val="00A863A9"/>
    <w:rsid w:val="00A86A12"/>
    <w:rsid w:val="00A86BC2"/>
    <w:rsid w:val="00A86CEA"/>
    <w:rsid w:val="00A86EBB"/>
    <w:rsid w:val="00A87322"/>
    <w:rsid w:val="00A873EB"/>
    <w:rsid w:val="00A877AC"/>
    <w:rsid w:val="00A87ECC"/>
    <w:rsid w:val="00A900E0"/>
    <w:rsid w:val="00A902D9"/>
    <w:rsid w:val="00A905AB"/>
    <w:rsid w:val="00A90C66"/>
    <w:rsid w:val="00A916B8"/>
    <w:rsid w:val="00A91788"/>
    <w:rsid w:val="00A9189C"/>
    <w:rsid w:val="00A919E4"/>
    <w:rsid w:val="00A91D23"/>
    <w:rsid w:val="00A9277A"/>
    <w:rsid w:val="00A9283A"/>
    <w:rsid w:val="00A92BFC"/>
    <w:rsid w:val="00A92CDE"/>
    <w:rsid w:val="00A934EF"/>
    <w:rsid w:val="00A93D00"/>
    <w:rsid w:val="00A94404"/>
    <w:rsid w:val="00A94932"/>
    <w:rsid w:val="00A94C09"/>
    <w:rsid w:val="00A94D1B"/>
    <w:rsid w:val="00A9529A"/>
    <w:rsid w:val="00A955E7"/>
    <w:rsid w:val="00A95D6D"/>
    <w:rsid w:val="00A969D3"/>
    <w:rsid w:val="00A96D14"/>
    <w:rsid w:val="00A96EDA"/>
    <w:rsid w:val="00A96F26"/>
    <w:rsid w:val="00A971DE"/>
    <w:rsid w:val="00A97634"/>
    <w:rsid w:val="00AA01C1"/>
    <w:rsid w:val="00AA0A24"/>
    <w:rsid w:val="00AA127D"/>
    <w:rsid w:val="00AA18E4"/>
    <w:rsid w:val="00AA1CCA"/>
    <w:rsid w:val="00AA1F6F"/>
    <w:rsid w:val="00AA241D"/>
    <w:rsid w:val="00AA31EF"/>
    <w:rsid w:val="00AA44B3"/>
    <w:rsid w:val="00AA46EC"/>
    <w:rsid w:val="00AA499A"/>
    <w:rsid w:val="00AA4B68"/>
    <w:rsid w:val="00AA587A"/>
    <w:rsid w:val="00AA5915"/>
    <w:rsid w:val="00AA59D7"/>
    <w:rsid w:val="00AA6288"/>
    <w:rsid w:val="00AA6330"/>
    <w:rsid w:val="00AA6566"/>
    <w:rsid w:val="00AA69CA"/>
    <w:rsid w:val="00AA719A"/>
    <w:rsid w:val="00AA765C"/>
    <w:rsid w:val="00AB0F44"/>
    <w:rsid w:val="00AB124B"/>
    <w:rsid w:val="00AB1A89"/>
    <w:rsid w:val="00AB1B00"/>
    <w:rsid w:val="00AB2E22"/>
    <w:rsid w:val="00AB406E"/>
    <w:rsid w:val="00AB4CA7"/>
    <w:rsid w:val="00AB53C4"/>
    <w:rsid w:val="00AB5789"/>
    <w:rsid w:val="00AB5FEB"/>
    <w:rsid w:val="00AB6313"/>
    <w:rsid w:val="00AB6423"/>
    <w:rsid w:val="00AB64CD"/>
    <w:rsid w:val="00AB6684"/>
    <w:rsid w:val="00AB7596"/>
    <w:rsid w:val="00AB7919"/>
    <w:rsid w:val="00AC066C"/>
    <w:rsid w:val="00AC0B22"/>
    <w:rsid w:val="00AC1716"/>
    <w:rsid w:val="00AC18B3"/>
    <w:rsid w:val="00AC2A24"/>
    <w:rsid w:val="00AC2DDA"/>
    <w:rsid w:val="00AC2E46"/>
    <w:rsid w:val="00AC2F2A"/>
    <w:rsid w:val="00AC3066"/>
    <w:rsid w:val="00AC3709"/>
    <w:rsid w:val="00AC3874"/>
    <w:rsid w:val="00AC395C"/>
    <w:rsid w:val="00AC427E"/>
    <w:rsid w:val="00AC4370"/>
    <w:rsid w:val="00AC4575"/>
    <w:rsid w:val="00AC4DC7"/>
    <w:rsid w:val="00AC4E9C"/>
    <w:rsid w:val="00AC54D0"/>
    <w:rsid w:val="00AC5924"/>
    <w:rsid w:val="00AC5DE8"/>
    <w:rsid w:val="00AC6304"/>
    <w:rsid w:val="00AC676C"/>
    <w:rsid w:val="00AC697D"/>
    <w:rsid w:val="00AC6AFD"/>
    <w:rsid w:val="00AC737B"/>
    <w:rsid w:val="00AC79FB"/>
    <w:rsid w:val="00AC7F98"/>
    <w:rsid w:val="00AD04B2"/>
    <w:rsid w:val="00AD0803"/>
    <w:rsid w:val="00AD1073"/>
    <w:rsid w:val="00AD11B6"/>
    <w:rsid w:val="00AD190A"/>
    <w:rsid w:val="00AD1CC8"/>
    <w:rsid w:val="00AD231F"/>
    <w:rsid w:val="00AD30AE"/>
    <w:rsid w:val="00AD33DB"/>
    <w:rsid w:val="00AD396F"/>
    <w:rsid w:val="00AD4C8B"/>
    <w:rsid w:val="00AD4E94"/>
    <w:rsid w:val="00AD585C"/>
    <w:rsid w:val="00AD611C"/>
    <w:rsid w:val="00AD7A4D"/>
    <w:rsid w:val="00AE0274"/>
    <w:rsid w:val="00AE039B"/>
    <w:rsid w:val="00AE0D8E"/>
    <w:rsid w:val="00AE1627"/>
    <w:rsid w:val="00AE1709"/>
    <w:rsid w:val="00AE1969"/>
    <w:rsid w:val="00AE1994"/>
    <w:rsid w:val="00AE1D0A"/>
    <w:rsid w:val="00AE1EC5"/>
    <w:rsid w:val="00AE283C"/>
    <w:rsid w:val="00AE313E"/>
    <w:rsid w:val="00AE372B"/>
    <w:rsid w:val="00AE3D81"/>
    <w:rsid w:val="00AE476B"/>
    <w:rsid w:val="00AE4AB1"/>
    <w:rsid w:val="00AE4F1C"/>
    <w:rsid w:val="00AE51D8"/>
    <w:rsid w:val="00AE51E5"/>
    <w:rsid w:val="00AE527F"/>
    <w:rsid w:val="00AE5664"/>
    <w:rsid w:val="00AE5AA4"/>
    <w:rsid w:val="00AE7565"/>
    <w:rsid w:val="00AF0341"/>
    <w:rsid w:val="00AF0372"/>
    <w:rsid w:val="00AF0D57"/>
    <w:rsid w:val="00AF0D6F"/>
    <w:rsid w:val="00AF191E"/>
    <w:rsid w:val="00AF1EA3"/>
    <w:rsid w:val="00AF22A3"/>
    <w:rsid w:val="00AF249F"/>
    <w:rsid w:val="00AF2E7B"/>
    <w:rsid w:val="00AF37F8"/>
    <w:rsid w:val="00AF3A4F"/>
    <w:rsid w:val="00AF3F5D"/>
    <w:rsid w:val="00AF3FDF"/>
    <w:rsid w:val="00AF41DD"/>
    <w:rsid w:val="00AF57DF"/>
    <w:rsid w:val="00AF58E4"/>
    <w:rsid w:val="00AF6010"/>
    <w:rsid w:val="00AF627E"/>
    <w:rsid w:val="00AF71EA"/>
    <w:rsid w:val="00B0008F"/>
    <w:rsid w:val="00B001BE"/>
    <w:rsid w:val="00B00C21"/>
    <w:rsid w:val="00B016C3"/>
    <w:rsid w:val="00B01758"/>
    <w:rsid w:val="00B021D8"/>
    <w:rsid w:val="00B02221"/>
    <w:rsid w:val="00B024BB"/>
    <w:rsid w:val="00B02578"/>
    <w:rsid w:val="00B03025"/>
    <w:rsid w:val="00B040F3"/>
    <w:rsid w:val="00B0434E"/>
    <w:rsid w:val="00B04909"/>
    <w:rsid w:val="00B04924"/>
    <w:rsid w:val="00B04940"/>
    <w:rsid w:val="00B055EF"/>
    <w:rsid w:val="00B0569A"/>
    <w:rsid w:val="00B05B14"/>
    <w:rsid w:val="00B0653D"/>
    <w:rsid w:val="00B06540"/>
    <w:rsid w:val="00B06D3B"/>
    <w:rsid w:val="00B07453"/>
    <w:rsid w:val="00B07862"/>
    <w:rsid w:val="00B07FF3"/>
    <w:rsid w:val="00B10127"/>
    <w:rsid w:val="00B1072D"/>
    <w:rsid w:val="00B11728"/>
    <w:rsid w:val="00B1195B"/>
    <w:rsid w:val="00B1282B"/>
    <w:rsid w:val="00B12990"/>
    <w:rsid w:val="00B14517"/>
    <w:rsid w:val="00B14805"/>
    <w:rsid w:val="00B14C50"/>
    <w:rsid w:val="00B14D21"/>
    <w:rsid w:val="00B14D77"/>
    <w:rsid w:val="00B1530D"/>
    <w:rsid w:val="00B154BB"/>
    <w:rsid w:val="00B16217"/>
    <w:rsid w:val="00B16963"/>
    <w:rsid w:val="00B16A1F"/>
    <w:rsid w:val="00B17F20"/>
    <w:rsid w:val="00B21119"/>
    <w:rsid w:val="00B21B77"/>
    <w:rsid w:val="00B2227D"/>
    <w:rsid w:val="00B223DC"/>
    <w:rsid w:val="00B22665"/>
    <w:rsid w:val="00B22A8E"/>
    <w:rsid w:val="00B24889"/>
    <w:rsid w:val="00B24FB8"/>
    <w:rsid w:val="00B2565C"/>
    <w:rsid w:val="00B262E1"/>
    <w:rsid w:val="00B27AA2"/>
    <w:rsid w:val="00B27AAC"/>
    <w:rsid w:val="00B27C5F"/>
    <w:rsid w:val="00B30084"/>
    <w:rsid w:val="00B304E0"/>
    <w:rsid w:val="00B310C4"/>
    <w:rsid w:val="00B31D2D"/>
    <w:rsid w:val="00B322DA"/>
    <w:rsid w:val="00B32BF6"/>
    <w:rsid w:val="00B32D07"/>
    <w:rsid w:val="00B32D99"/>
    <w:rsid w:val="00B32FBF"/>
    <w:rsid w:val="00B33384"/>
    <w:rsid w:val="00B334AD"/>
    <w:rsid w:val="00B33576"/>
    <w:rsid w:val="00B33878"/>
    <w:rsid w:val="00B33DD5"/>
    <w:rsid w:val="00B33F7C"/>
    <w:rsid w:val="00B33FB1"/>
    <w:rsid w:val="00B34294"/>
    <w:rsid w:val="00B3434D"/>
    <w:rsid w:val="00B34A66"/>
    <w:rsid w:val="00B351CD"/>
    <w:rsid w:val="00B35283"/>
    <w:rsid w:val="00B363D9"/>
    <w:rsid w:val="00B36542"/>
    <w:rsid w:val="00B36885"/>
    <w:rsid w:val="00B36B08"/>
    <w:rsid w:val="00B374F6"/>
    <w:rsid w:val="00B37818"/>
    <w:rsid w:val="00B378CD"/>
    <w:rsid w:val="00B379B7"/>
    <w:rsid w:val="00B379F0"/>
    <w:rsid w:val="00B37D29"/>
    <w:rsid w:val="00B407B5"/>
    <w:rsid w:val="00B41013"/>
    <w:rsid w:val="00B41152"/>
    <w:rsid w:val="00B4138D"/>
    <w:rsid w:val="00B41445"/>
    <w:rsid w:val="00B41B69"/>
    <w:rsid w:val="00B43928"/>
    <w:rsid w:val="00B440AF"/>
    <w:rsid w:val="00B440DC"/>
    <w:rsid w:val="00B45C44"/>
    <w:rsid w:val="00B474B6"/>
    <w:rsid w:val="00B47589"/>
    <w:rsid w:val="00B47706"/>
    <w:rsid w:val="00B479DC"/>
    <w:rsid w:val="00B50C49"/>
    <w:rsid w:val="00B517FA"/>
    <w:rsid w:val="00B526F2"/>
    <w:rsid w:val="00B5296A"/>
    <w:rsid w:val="00B5309F"/>
    <w:rsid w:val="00B536C7"/>
    <w:rsid w:val="00B53EB1"/>
    <w:rsid w:val="00B5420E"/>
    <w:rsid w:val="00B54731"/>
    <w:rsid w:val="00B54D01"/>
    <w:rsid w:val="00B55529"/>
    <w:rsid w:val="00B56820"/>
    <w:rsid w:val="00B56B41"/>
    <w:rsid w:val="00B57319"/>
    <w:rsid w:val="00B57E7E"/>
    <w:rsid w:val="00B57EC0"/>
    <w:rsid w:val="00B60B46"/>
    <w:rsid w:val="00B60B83"/>
    <w:rsid w:val="00B60EA5"/>
    <w:rsid w:val="00B60F6E"/>
    <w:rsid w:val="00B61138"/>
    <w:rsid w:val="00B62022"/>
    <w:rsid w:val="00B62E3D"/>
    <w:rsid w:val="00B62EEE"/>
    <w:rsid w:val="00B63073"/>
    <w:rsid w:val="00B6375A"/>
    <w:rsid w:val="00B6375B"/>
    <w:rsid w:val="00B637FE"/>
    <w:rsid w:val="00B654E1"/>
    <w:rsid w:val="00B65AE1"/>
    <w:rsid w:val="00B65D11"/>
    <w:rsid w:val="00B66086"/>
    <w:rsid w:val="00B66683"/>
    <w:rsid w:val="00B666E0"/>
    <w:rsid w:val="00B66D89"/>
    <w:rsid w:val="00B6753D"/>
    <w:rsid w:val="00B676C6"/>
    <w:rsid w:val="00B67C04"/>
    <w:rsid w:val="00B70164"/>
    <w:rsid w:val="00B703C2"/>
    <w:rsid w:val="00B7094D"/>
    <w:rsid w:val="00B7096D"/>
    <w:rsid w:val="00B70B10"/>
    <w:rsid w:val="00B71183"/>
    <w:rsid w:val="00B717F5"/>
    <w:rsid w:val="00B71DF9"/>
    <w:rsid w:val="00B73B10"/>
    <w:rsid w:val="00B73D08"/>
    <w:rsid w:val="00B74489"/>
    <w:rsid w:val="00B74ADE"/>
    <w:rsid w:val="00B7535A"/>
    <w:rsid w:val="00B7563B"/>
    <w:rsid w:val="00B75759"/>
    <w:rsid w:val="00B75B68"/>
    <w:rsid w:val="00B75C28"/>
    <w:rsid w:val="00B75D23"/>
    <w:rsid w:val="00B75DF3"/>
    <w:rsid w:val="00B76AD3"/>
    <w:rsid w:val="00B76B4D"/>
    <w:rsid w:val="00B76E7C"/>
    <w:rsid w:val="00B76F92"/>
    <w:rsid w:val="00B76FAE"/>
    <w:rsid w:val="00B77224"/>
    <w:rsid w:val="00B7752B"/>
    <w:rsid w:val="00B7754D"/>
    <w:rsid w:val="00B77688"/>
    <w:rsid w:val="00B77EBE"/>
    <w:rsid w:val="00B77EFA"/>
    <w:rsid w:val="00B80721"/>
    <w:rsid w:val="00B807B5"/>
    <w:rsid w:val="00B817D8"/>
    <w:rsid w:val="00B81A5A"/>
    <w:rsid w:val="00B81CAC"/>
    <w:rsid w:val="00B81D99"/>
    <w:rsid w:val="00B82301"/>
    <w:rsid w:val="00B825DB"/>
    <w:rsid w:val="00B82B19"/>
    <w:rsid w:val="00B82C25"/>
    <w:rsid w:val="00B8339B"/>
    <w:rsid w:val="00B83D15"/>
    <w:rsid w:val="00B84A9E"/>
    <w:rsid w:val="00B84F7C"/>
    <w:rsid w:val="00B851BE"/>
    <w:rsid w:val="00B86258"/>
    <w:rsid w:val="00B8661F"/>
    <w:rsid w:val="00B867B3"/>
    <w:rsid w:val="00B86940"/>
    <w:rsid w:val="00B86C13"/>
    <w:rsid w:val="00B86C38"/>
    <w:rsid w:val="00B86D47"/>
    <w:rsid w:val="00B87F44"/>
    <w:rsid w:val="00B90198"/>
    <w:rsid w:val="00B9057B"/>
    <w:rsid w:val="00B90700"/>
    <w:rsid w:val="00B90FBF"/>
    <w:rsid w:val="00B91067"/>
    <w:rsid w:val="00B911A5"/>
    <w:rsid w:val="00B916B6"/>
    <w:rsid w:val="00B91766"/>
    <w:rsid w:val="00B9202D"/>
    <w:rsid w:val="00B92866"/>
    <w:rsid w:val="00B92934"/>
    <w:rsid w:val="00B92CEC"/>
    <w:rsid w:val="00B93624"/>
    <w:rsid w:val="00B93799"/>
    <w:rsid w:val="00B93847"/>
    <w:rsid w:val="00B93905"/>
    <w:rsid w:val="00B94B24"/>
    <w:rsid w:val="00B94BB3"/>
    <w:rsid w:val="00B94CCF"/>
    <w:rsid w:val="00B959BE"/>
    <w:rsid w:val="00B968A0"/>
    <w:rsid w:val="00B969D5"/>
    <w:rsid w:val="00B971CD"/>
    <w:rsid w:val="00B97472"/>
    <w:rsid w:val="00B979DE"/>
    <w:rsid w:val="00B97FC8"/>
    <w:rsid w:val="00BA00C6"/>
    <w:rsid w:val="00BA06FB"/>
    <w:rsid w:val="00BA0FBB"/>
    <w:rsid w:val="00BA1425"/>
    <w:rsid w:val="00BA17D7"/>
    <w:rsid w:val="00BA2484"/>
    <w:rsid w:val="00BA3300"/>
    <w:rsid w:val="00BA36E6"/>
    <w:rsid w:val="00BA47EB"/>
    <w:rsid w:val="00BA4A9A"/>
    <w:rsid w:val="00BA4FFD"/>
    <w:rsid w:val="00BA5416"/>
    <w:rsid w:val="00BA63EB"/>
    <w:rsid w:val="00BA6FFF"/>
    <w:rsid w:val="00BA7B3A"/>
    <w:rsid w:val="00BA7D12"/>
    <w:rsid w:val="00BB17A2"/>
    <w:rsid w:val="00BB2494"/>
    <w:rsid w:val="00BB3650"/>
    <w:rsid w:val="00BB3813"/>
    <w:rsid w:val="00BB40D1"/>
    <w:rsid w:val="00BB42BB"/>
    <w:rsid w:val="00BB438A"/>
    <w:rsid w:val="00BB450C"/>
    <w:rsid w:val="00BB525D"/>
    <w:rsid w:val="00BB527C"/>
    <w:rsid w:val="00BB54EE"/>
    <w:rsid w:val="00BB552E"/>
    <w:rsid w:val="00BB5724"/>
    <w:rsid w:val="00BB59EF"/>
    <w:rsid w:val="00BB5A46"/>
    <w:rsid w:val="00BB6651"/>
    <w:rsid w:val="00BB6ED0"/>
    <w:rsid w:val="00BB7135"/>
    <w:rsid w:val="00BB7417"/>
    <w:rsid w:val="00BB7677"/>
    <w:rsid w:val="00BB769D"/>
    <w:rsid w:val="00BB77FD"/>
    <w:rsid w:val="00BC071B"/>
    <w:rsid w:val="00BC0EF9"/>
    <w:rsid w:val="00BC1700"/>
    <w:rsid w:val="00BC1968"/>
    <w:rsid w:val="00BC19ED"/>
    <w:rsid w:val="00BC22AE"/>
    <w:rsid w:val="00BC2D51"/>
    <w:rsid w:val="00BC3683"/>
    <w:rsid w:val="00BC388F"/>
    <w:rsid w:val="00BC43AF"/>
    <w:rsid w:val="00BC45C9"/>
    <w:rsid w:val="00BC52E0"/>
    <w:rsid w:val="00BC5526"/>
    <w:rsid w:val="00BC5B70"/>
    <w:rsid w:val="00BC68CA"/>
    <w:rsid w:val="00BC68D3"/>
    <w:rsid w:val="00BC72B3"/>
    <w:rsid w:val="00BC732B"/>
    <w:rsid w:val="00BC739C"/>
    <w:rsid w:val="00BC7775"/>
    <w:rsid w:val="00BD0A1C"/>
    <w:rsid w:val="00BD0D86"/>
    <w:rsid w:val="00BD0EA0"/>
    <w:rsid w:val="00BD1242"/>
    <w:rsid w:val="00BD1335"/>
    <w:rsid w:val="00BD13F4"/>
    <w:rsid w:val="00BD16A2"/>
    <w:rsid w:val="00BD19D6"/>
    <w:rsid w:val="00BD1F09"/>
    <w:rsid w:val="00BD3475"/>
    <w:rsid w:val="00BD36C7"/>
    <w:rsid w:val="00BD3D47"/>
    <w:rsid w:val="00BD3D4B"/>
    <w:rsid w:val="00BD40A2"/>
    <w:rsid w:val="00BD4118"/>
    <w:rsid w:val="00BD480B"/>
    <w:rsid w:val="00BD48CD"/>
    <w:rsid w:val="00BD493C"/>
    <w:rsid w:val="00BD4AB6"/>
    <w:rsid w:val="00BD4D0F"/>
    <w:rsid w:val="00BD4E82"/>
    <w:rsid w:val="00BD4EC7"/>
    <w:rsid w:val="00BD59F7"/>
    <w:rsid w:val="00BD5A2D"/>
    <w:rsid w:val="00BD5D03"/>
    <w:rsid w:val="00BD61AE"/>
    <w:rsid w:val="00BD6D27"/>
    <w:rsid w:val="00BD6E8D"/>
    <w:rsid w:val="00BD70A3"/>
    <w:rsid w:val="00BD75BE"/>
    <w:rsid w:val="00BD7D34"/>
    <w:rsid w:val="00BE001D"/>
    <w:rsid w:val="00BE0030"/>
    <w:rsid w:val="00BE026D"/>
    <w:rsid w:val="00BE0647"/>
    <w:rsid w:val="00BE0C23"/>
    <w:rsid w:val="00BE0CDC"/>
    <w:rsid w:val="00BE12B3"/>
    <w:rsid w:val="00BE1943"/>
    <w:rsid w:val="00BE1999"/>
    <w:rsid w:val="00BE1B9D"/>
    <w:rsid w:val="00BE1CCF"/>
    <w:rsid w:val="00BE30A4"/>
    <w:rsid w:val="00BE3E58"/>
    <w:rsid w:val="00BE3F54"/>
    <w:rsid w:val="00BE4243"/>
    <w:rsid w:val="00BE469C"/>
    <w:rsid w:val="00BE500F"/>
    <w:rsid w:val="00BE5FFE"/>
    <w:rsid w:val="00BE7663"/>
    <w:rsid w:val="00BE774E"/>
    <w:rsid w:val="00BE7C7E"/>
    <w:rsid w:val="00BF00DA"/>
    <w:rsid w:val="00BF01DC"/>
    <w:rsid w:val="00BF06D5"/>
    <w:rsid w:val="00BF06D9"/>
    <w:rsid w:val="00BF08F8"/>
    <w:rsid w:val="00BF0A05"/>
    <w:rsid w:val="00BF1967"/>
    <w:rsid w:val="00BF1A5D"/>
    <w:rsid w:val="00BF1B9B"/>
    <w:rsid w:val="00BF1E0C"/>
    <w:rsid w:val="00BF1EE2"/>
    <w:rsid w:val="00BF1F5A"/>
    <w:rsid w:val="00BF21C3"/>
    <w:rsid w:val="00BF23E1"/>
    <w:rsid w:val="00BF2CBD"/>
    <w:rsid w:val="00BF2DA2"/>
    <w:rsid w:val="00BF2E2B"/>
    <w:rsid w:val="00BF3721"/>
    <w:rsid w:val="00BF37F0"/>
    <w:rsid w:val="00BF3C1F"/>
    <w:rsid w:val="00BF50DF"/>
    <w:rsid w:val="00BF5379"/>
    <w:rsid w:val="00BF558C"/>
    <w:rsid w:val="00BF5ACD"/>
    <w:rsid w:val="00BF65A1"/>
    <w:rsid w:val="00BF727B"/>
    <w:rsid w:val="00BF72BA"/>
    <w:rsid w:val="00BF7905"/>
    <w:rsid w:val="00BF7C37"/>
    <w:rsid w:val="00BF7CBD"/>
    <w:rsid w:val="00BF7E60"/>
    <w:rsid w:val="00C003E6"/>
    <w:rsid w:val="00C00648"/>
    <w:rsid w:val="00C00772"/>
    <w:rsid w:val="00C00903"/>
    <w:rsid w:val="00C00C4D"/>
    <w:rsid w:val="00C00EE0"/>
    <w:rsid w:val="00C01561"/>
    <w:rsid w:val="00C02134"/>
    <w:rsid w:val="00C02224"/>
    <w:rsid w:val="00C02252"/>
    <w:rsid w:val="00C024B0"/>
    <w:rsid w:val="00C03B85"/>
    <w:rsid w:val="00C03EE2"/>
    <w:rsid w:val="00C03FAB"/>
    <w:rsid w:val="00C046A9"/>
    <w:rsid w:val="00C04D04"/>
    <w:rsid w:val="00C04E62"/>
    <w:rsid w:val="00C05530"/>
    <w:rsid w:val="00C062F7"/>
    <w:rsid w:val="00C06301"/>
    <w:rsid w:val="00C0686A"/>
    <w:rsid w:val="00C06FE1"/>
    <w:rsid w:val="00C072F8"/>
    <w:rsid w:val="00C073C3"/>
    <w:rsid w:val="00C07A59"/>
    <w:rsid w:val="00C07D52"/>
    <w:rsid w:val="00C1007B"/>
    <w:rsid w:val="00C103AE"/>
    <w:rsid w:val="00C10482"/>
    <w:rsid w:val="00C109E4"/>
    <w:rsid w:val="00C10E79"/>
    <w:rsid w:val="00C110D0"/>
    <w:rsid w:val="00C112CE"/>
    <w:rsid w:val="00C11552"/>
    <w:rsid w:val="00C1176C"/>
    <w:rsid w:val="00C11C75"/>
    <w:rsid w:val="00C12AC3"/>
    <w:rsid w:val="00C13B2B"/>
    <w:rsid w:val="00C15370"/>
    <w:rsid w:val="00C15779"/>
    <w:rsid w:val="00C15A54"/>
    <w:rsid w:val="00C15DD5"/>
    <w:rsid w:val="00C16329"/>
    <w:rsid w:val="00C16A66"/>
    <w:rsid w:val="00C16AFE"/>
    <w:rsid w:val="00C1753C"/>
    <w:rsid w:val="00C17678"/>
    <w:rsid w:val="00C17D8B"/>
    <w:rsid w:val="00C17EE3"/>
    <w:rsid w:val="00C20148"/>
    <w:rsid w:val="00C210FE"/>
    <w:rsid w:val="00C2110D"/>
    <w:rsid w:val="00C21A28"/>
    <w:rsid w:val="00C2267B"/>
    <w:rsid w:val="00C229CB"/>
    <w:rsid w:val="00C22DEA"/>
    <w:rsid w:val="00C22F3A"/>
    <w:rsid w:val="00C232C5"/>
    <w:rsid w:val="00C23D07"/>
    <w:rsid w:val="00C24BD7"/>
    <w:rsid w:val="00C24FE2"/>
    <w:rsid w:val="00C25167"/>
    <w:rsid w:val="00C251F2"/>
    <w:rsid w:val="00C25996"/>
    <w:rsid w:val="00C25BB2"/>
    <w:rsid w:val="00C25D05"/>
    <w:rsid w:val="00C26440"/>
    <w:rsid w:val="00C26979"/>
    <w:rsid w:val="00C27323"/>
    <w:rsid w:val="00C2758E"/>
    <w:rsid w:val="00C2794D"/>
    <w:rsid w:val="00C27FA7"/>
    <w:rsid w:val="00C303A8"/>
    <w:rsid w:val="00C305C3"/>
    <w:rsid w:val="00C325F9"/>
    <w:rsid w:val="00C32B06"/>
    <w:rsid w:val="00C32E10"/>
    <w:rsid w:val="00C33D72"/>
    <w:rsid w:val="00C343D2"/>
    <w:rsid w:val="00C34830"/>
    <w:rsid w:val="00C34B50"/>
    <w:rsid w:val="00C34E4F"/>
    <w:rsid w:val="00C34F1F"/>
    <w:rsid w:val="00C351BD"/>
    <w:rsid w:val="00C354BC"/>
    <w:rsid w:val="00C359CC"/>
    <w:rsid w:val="00C3672A"/>
    <w:rsid w:val="00C36B97"/>
    <w:rsid w:val="00C36CF5"/>
    <w:rsid w:val="00C36D17"/>
    <w:rsid w:val="00C37508"/>
    <w:rsid w:val="00C3755D"/>
    <w:rsid w:val="00C376BF"/>
    <w:rsid w:val="00C37FDD"/>
    <w:rsid w:val="00C40000"/>
    <w:rsid w:val="00C402A5"/>
    <w:rsid w:val="00C40AAE"/>
    <w:rsid w:val="00C40DD9"/>
    <w:rsid w:val="00C40F10"/>
    <w:rsid w:val="00C412B2"/>
    <w:rsid w:val="00C4178A"/>
    <w:rsid w:val="00C42005"/>
    <w:rsid w:val="00C42E06"/>
    <w:rsid w:val="00C4301A"/>
    <w:rsid w:val="00C44048"/>
    <w:rsid w:val="00C445EF"/>
    <w:rsid w:val="00C44CC3"/>
    <w:rsid w:val="00C451CD"/>
    <w:rsid w:val="00C4634B"/>
    <w:rsid w:val="00C463B7"/>
    <w:rsid w:val="00C46667"/>
    <w:rsid w:val="00C4673C"/>
    <w:rsid w:val="00C46E4C"/>
    <w:rsid w:val="00C46E9D"/>
    <w:rsid w:val="00C4706A"/>
    <w:rsid w:val="00C47380"/>
    <w:rsid w:val="00C476BD"/>
    <w:rsid w:val="00C47774"/>
    <w:rsid w:val="00C47F9A"/>
    <w:rsid w:val="00C50112"/>
    <w:rsid w:val="00C50260"/>
    <w:rsid w:val="00C510AC"/>
    <w:rsid w:val="00C519EE"/>
    <w:rsid w:val="00C524DC"/>
    <w:rsid w:val="00C524E1"/>
    <w:rsid w:val="00C5323B"/>
    <w:rsid w:val="00C535B0"/>
    <w:rsid w:val="00C53B55"/>
    <w:rsid w:val="00C5453C"/>
    <w:rsid w:val="00C5655B"/>
    <w:rsid w:val="00C56637"/>
    <w:rsid w:val="00C56F31"/>
    <w:rsid w:val="00C57814"/>
    <w:rsid w:val="00C5783E"/>
    <w:rsid w:val="00C578C7"/>
    <w:rsid w:val="00C57F89"/>
    <w:rsid w:val="00C60358"/>
    <w:rsid w:val="00C606E9"/>
    <w:rsid w:val="00C609D9"/>
    <w:rsid w:val="00C60BA9"/>
    <w:rsid w:val="00C62343"/>
    <w:rsid w:val="00C6263F"/>
    <w:rsid w:val="00C626E4"/>
    <w:rsid w:val="00C62881"/>
    <w:rsid w:val="00C62EDF"/>
    <w:rsid w:val="00C63379"/>
    <w:rsid w:val="00C6358D"/>
    <w:rsid w:val="00C6377D"/>
    <w:rsid w:val="00C63F80"/>
    <w:rsid w:val="00C657BB"/>
    <w:rsid w:val="00C65DEB"/>
    <w:rsid w:val="00C65FE2"/>
    <w:rsid w:val="00C6619B"/>
    <w:rsid w:val="00C66699"/>
    <w:rsid w:val="00C66758"/>
    <w:rsid w:val="00C66DE7"/>
    <w:rsid w:val="00C66F6C"/>
    <w:rsid w:val="00C67072"/>
    <w:rsid w:val="00C67B41"/>
    <w:rsid w:val="00C67BB2"/>
    <w:rsid w:val="00C67FE0"/>
    <w:rsid w:val="00C70D8C"/>
    <w:rsid w:val="00C70EB2"/>
    <w:rsid w:val="00C70F9C"/>
    <w:rsid w:val="00C714E2"/>
    <w:rsid w:val="00C71C7A"/>
    <w:rsid w:val="00C72A10"/>
    <w:rsid w:val="00C72F91"/>
    <w:rsid w:val="00C735BF"/>
    <w:rsid w:val="00C739E7"/>
    <w:rsid w:val="00C74266"/>
    <w:rsid w:val="00C7452B"/>
    <w:rsid w:val="00C74A8D"/>
    <w:rsid w:val="00C74BAA"/>
    <w:rsid w:val="00C74BC9"/>
    <w:rsid w:val="00C74CAE"/>
    <w:rsid w:val="00C758BE"/>
    <w:rsid w:val="00C75BAA"/>
    <w:rsid w:val="00C76BC5"/>
    <w:rsid w:val="00C76D75"/>
    <w:rsid w:val="00C76DE1"/>
    <w:rsid w:val="00C77EC5"/>
    <w:rsid w:val="00C80165"/>
    <w:rsid w:val="00C804B3"/>
    <w:rsid w:val="00C804CB"/>
    <w:rsid w:val="00C80A62"/>
    <w:rsid w:val="00C8148B"/>
    <w:rsid w:val="00C81738"/>
    <w:rsid w:val="00C818F5"/>
    <w:rsid w:val="00C822FE"/>
    <w:rsid w:val="00C82341"/>
    <w:rsid w:val="00C8269A"/>
    <w:rsid w:val="00C83910"/>
    <w:rsid w:val="00C84498"/>
    <w:rsid w:val="00C84A1D"/>
    <w:rsid w:val="00C84B7A"/>
    <w:rsid w:val="00C84F83"/>
    <w:rsid w:val="00C85CDF"/>
    <w:rsid w:val="00C86D86"/>
    <w:rsid w:val="00C86F82"/>
    <w:rsid w:val="00C87E77"/>
    <w:rsid w:val="00C87F23"/>
    <w:rsid w:val="00C90535"/>
    <w:rsid w:val="00C90875"/>
    <w:rsid w:val="00C90A0F"/>
    <w:rsid w:val="00C90D93"/>
    <w:rsid w:val="00C911FC"/>
    <w:rsid w:val="00C9125B"/>
    <w:rsid w:val="00C9166D"/>
    <w:rsid w:val="00C921B6"/>
    <w:rsid w:val="00C924CC"/>
    <w:rsid w:val="00C925F6"/>
    <w:rsid w:val="00C9268F"/>
    <w:rsid w:val="00C92D0A"/>
    <w:rsid w:val="00C9316C"/>
    <w:rsid w:val="00C93205"/>
    <w:rsid w:val="00C93240"/>
    <w:rsid w:val="00C93266"/>
    <w:rsid w:val="00C941ED"/>
    <w:rsid w:val="00C955D7"/>
    <w:rsid w:val="00C95DA8"/>
    <w:rsid w:val="00C95EA7"/>
    <w:rsid w:val="00C96308"/>
    <w:rsid w:val="00C963CF"/>
    <w:rsid w:val="00C96633"/>
    <w:rsid w:val="00C9676E"/>
    <w:rsid w:val="00C96804"/>
    <w:rsid w:val="00C96B4D"/>
    <w:rsid w:val="00C96F79"/>
    <w:rsid w:val="00C97155"/>
    <w:rsid w:val="00C97AED"/>
    <w:rsid w:val="00CA0623"/>
    <w:rsid w:val="00CA068E"/>
    <w:rsid w:val="00CA0917"/>
    <w:rsid w:val="00CA0A85"/>
    <w:rsid w:val="00CA0AC8"/>
    <w:rsid w:val="00CA0C96"/>
    <w:rsid w:val="00CA0FEA"/>
    <w:rsid w:val="00CA27CA"/>
    <w:rsid w:val="00CA3543"/>
    <w:rsid w:val="00CA3AB6"/>
    <w:rsid w:val="00CA40DD"/>
    <w:rsid w:val="00CA41C2"/>
    <w:rsid w:val="00CA4601"/>
    <w:rsid w:val="00CA4C39"/>
    <w:rsid w:val="00CA4C75"/>
    <w:rsid w:val="00CA54DF"/>
    <w:rsid w:val="00CA59D0"/>
    <w:rsid w:val="00CA67AB"/>
    <w:rsid w:val="00CA6D7D"/>
    <w:rsid w:val="00CA6D8A"/>
    <w:rsid w:val="00CA6FCE"/>
    <w:rsid w:val="00CA726A"/>
    <w:rsid w:val="00CB0023"/>
    <w:rsid w:val="00CB009C"/>
    <w:rsid w:val="00CB0CE4"/>
    <w:rsid w:val="00CB20F4"/>
    <w:rsid w:val="00CB2A60"/>
    <w:rsid w:val="00CB301D"/>
    <w:rsid w:val="00CB310A"/>
    <w:rsid w:val="00CB3535"/>
    <w:rsid w:val="00CB35FB"/>
    <w:rsid w:val="00CB3624"/>
    <w:rsid w:val="00CB37EF"/>
    <w:rsid w:val="00CB3F1C"/>
    <w:rsid w:val="00CB468B"/>
    <w:rsid w:val="00CB5628"/>
    <w:rsid w:val="00CB5DCA"/>
    <w:rsid w:val="00CB6347"/>
    <w:rsid w:val="00CB63F6"/>
    <w:rsid w:val="00CB779D"/>
    <w:rsid w:val="00CB7FD2"/>
    <w:rsid w:val="00CC0027"/>
    <w:rsid w:val="00CC0125"/>
    <w:rsid w:val="00CC0B88"/>
    <w:rsid w:val="00CC124B"/>
    <w:rsid w:val="00CC148A"/>
    <w:rsid w:val="00CC16F2"/>
    <w:rsid w:val="00CC221A"/>
    <w:rsid w:val="00CC388C"/>
    <w:rsid w:val="00CC3AEB"/>
    <w:rsid w:val="00CC3E26"/>
    <w:rsid w:val="00CC5264"/>
    <w:rsid w:val="00CC5A22"/>
    <w:rsid w:val="00CC5DDB"/>
    <w:rsid w:val="00CC7274"/>
    <w:rsid w:val="00CC72C6"/>
    <w:rsid w:val="00CC7415"/>
    <w:rsid w:val="00CC7E9F"/>
    <w:rsid w:val="00CD0346"/>
    <w:rsid w:val="00CD0A63"/>
    <w:rsid w:val="00CD1011"/>
    <w:rsid w:val="00CD13BD"/>
    <w:rsid w:val="00CD1945"/>
    <w:rsid w:val="00CD1F72"/>
    <w:rsid w:val="00CD25CC"/>
    <w:rsid w:val="00CD25E4"/>
    <w:rsid w:val="00CD2A08"/>
    <w:rsid w:val="00CD2B37"/>
    <w:rsid w:val="00CD2EF2"/>
    <w:rsid w:val="00CD335F"/>
    <w:rsid w:val="00CD3572"/>
    <w:rsid w:val="00CD41DC"/>
    <w:rsid w:val="00CD4434"/>
    <w:rsid w:val="00CD5107"/>
    <w:rsid w:val="00CD5340"/>
    <w:rsid w:val="00CD5390"/>
    <w:rsid w:val="00CD53EF"/>
    <w:rsid w:val="00CD57B7"/>
    <w:rsid w:val="00CD5945"/>
    <w:rsid w:val="00CD59D2"/>
    <w:rsid w:val="00CD59E4"/>
    <w:rsid w:val="00CD616E"/>
    <w:rsid w:val="00CD6276"/>
    <w:rsid w:val="00CD6D66"/>
    <w:rsid w:val="00CD775B"/>
    <w:rsid w:val="00CD79F8"/>
    <w:rsid w:val="00CD7AB5"/>
    <w:rsid w:val="00CD7CEE"/>
    <w:rsid w:val="00CE01BA"/>
    <w:rsid w:val="00CE0C17"/>
    <w:rsid w:val="00CE13DB"/>
    <w:rsid w:val="00CE15A8"/>
    <w:rsid w:val="00CE16C8"/>
    <w:rsid w:val="00CE1C8F"/>
    <w:rsid w:val="00CE1FE0"/>
    <w:rsid w:val="00CE2242"/>
    <w:rsid w:val="00CE2401"/>
    <w:rsid w:val="00CE27C7"/>
    <w:rsid w:val="00CE29AB"/>
    <w:rsid w:val="00CE396B"/>
    <w:rsid w:val="00CE4078"/>
    <w:rsid w:val="00CE4B8B"/>
    <w:rsid w:val="00CE5444"/>
    <w:rsid w:val="00CE54C8"/>
    <w:rsid w:val="00CE5D6E"/>
    <w:rsid w:val="00CE5FBD"/>
    <w:rsid w:val="00CE70C4"/>
    <w:rsid w:val="00CE79BA"/>
    <w:rsid w:val="00CF0578"/>
    <w:rsid w:val="00CF0AE6"/>
    <w:rsid w:val="00CF1492"/>
    <w:rsid w:val="00CF16C4"/>
    <w:rsid w:val="00CF181A"/>
    <w:rsid w:val="00CF1A43"/>
    <w:rsid w:val="00CF264E"/>
    <w:rsid w:val="00CF2986"/>
    <w:rsid w:val="00CF2A17"/>
    <w:rsid w:val="00CF3346"/>
    <w:rsid w:val="00CF4CF2"/>
    <w:rsid w:val="00CF5028"/>
    <w:rsid w:val="00CF6A4E"/>
    <w:rsid w:val="00CF6EC8"/>
    <w:rsid w:val="00CF785E"/>
    <w:rsid w:val="00CF7B70"/>
    <w:rsid w:val="00D001CF"/>
    <w:rsid w:val="00D00698"/>
    <w:rsid w:val="00D00A16"/>
    <w:rsid w:val="00D01338"/>
    <w:rsid w:val="00D01D82"/>
    <w:rsid w:val="00D02082"/>
    <w:rsid w:val="00D0271C"/>
    <w:rsid w:val="00D02EAE"/>
    <w:rsid w:val="00D02F60"/>
    <w:rsid w:val="00D036C1"/>
    <w:rsid w:val="00D03989"/>
    <w:rsid w:val="00D041E7"/>
    <w:rsid w:val="00D056D2"/>
    <w:rsid w:val="00D05E85"/>
    <w:rsid w:val="00D0755D"/>
    <w:rsid w:val="00D0788B"/>
    <w:rsid w:val="00D07BF4"/>
    <w:rsid w:val="00D07CF9"/>
    <w:rsid w:val="00D100F2"/>
    <w:rsid w:val="00D12138"/>
    <w:rsid w:val="00D12589"/>
    <w:rsid w:val="00D127AE"/>
    <w:rsid w:val="00D12E05"/>
    <w:rsid w:val="00D12F75"/>
    <w:rsid w:val="00D134BC"/>
    <w:rsid w:val="00D13658"/>
    <w:rsid w:val="00D13823"/>
    <w:rsid w:val="00D13CC2"/>
    <w:rsid w:val="00D14B1C"/>
    <w:rsid w:val="00D154B0"/>
    <w:rsid w:val="00D15D3F"/>
    <w:rsid w:val="00D162F3"/>
    <w:rsid w:val="00D16442"/>
    <w:rsid w:val="00D164CB"/>
    <w:rsid w:val="00D16A9D"/>
    <w:rsid w:val="00D16B08"/>
    <w:rsid w:val="00D16E5A"/>
    <w:rsid w:val="00D171F2"/>
    <w:rsid w:val="00D173B5"/>
    <w:rsid w:val="00D175C0"/>
    <w:rsid w:val="00D176FF"/>
    <w:rsid w:val="00D17B5F"/>
    <w:rsid w:val="00D2116E"/>
    <w:rsid w:val="00D213E6"/>
    <w:rsid w:val="00D21955"/>
    <w:rsid w:val="00D21A62"/>
    <w:rsid w:val="00D228EF"/>
    <w:rsid w:val="00D23301"/>
    <w:rsid w:val="00D23AC3"/>
    <w:rsid w:val="00D249C7"/>
    <w:rsid w:val="00D24B87"/>
    <w:rsid w:val="00D24BAB"/>
    <w:rsid w:val="00D26538"/>
    <w:rsid w:val="00D26A09"/>
    <w:rsid w:val="00D27011"/>
    <w:rsid w:val="00D27199"/>
    <w:rsid w:val="00D274AD"/>
    <w:rsid w:val="00D278B9"/>
    <w:rsid w:val="00D27AD0"/>
    <w:rsid w:val="00D27CEB"/>
    <w:rsid w:val="00D30136"/>
    <w:rsid w:val="00D31147"/>
    <w:rsid w:val="00D323D0"/>
    <w:rsid w:val="00D32A2C"/>
    <w:rsid w:val="00D32B02"/>
    <w:rsid w:val="00D3314B"/>
    <w:rsid w:val="00D3405B"/>
    <w:rsid w:val="00D34D77"/>
    <w:rsid w:val="00D35444"/>
    <w:rsid w:val="00D35F25"/>
    <w:rsid w:val="00D35F9E"/>
    <w:rsid w:val="00D36BD5"/>
    <w:rsid w:val="00D375B0"/>
    <w:rsid w:val="00D376C7"/>
    <w:rsid w:val="00D3779F"/>
    <w:rsid w:val="00D3790F"/>
    <w:rsid w:val="00D40157"/>
    <w:rsid w:val="00D405B4"/>
    <w:rsid w:val="00D413F3"/>
    <w:rsid w:val="00D413F7"/>
    <w:rsid w:val="00D41589"/>
    <w:rsid w:val="00D4158F"/>
    <w:rsid w:val="00D415FE"/>
    <w:rsid w:val="00D416F3"/>
    <w:rsid w:val="00D418B9"/>
    <w:rsid w:val="00D42013"/>
    <w:rsid w:val="00D42412"/>
    <w:rsid w:val="00D42830"/>
    <w:rsid w:val="00D43220"/>
    <w:rsid w:val="00D432B0"/>
    <w:rsid w:val="00D4439B"/>
    <w:rsid w:val="00D454AD"/>
    <w:rsid w:val="00D454CC"/>
    <w:rsid w:val="00D4553F"/>
    <w:rsid w:val="00D45A20"/>
    <w:rsid w:val="00D45D82"/>
    <w:rsid w:val="00D45F4A"/>
    <w:rsid w:val="00D46945"/>
    <w:rsid w:val="00D47157"/>
    <w:rsid w:val="00D4738A"/>
    <w:rsid w:val="00D47528"/>
    <w:rsid w:val="00D51168"/>
    <w:rsid w:val="00D52278"/>
    <w:rsid w:val="00D522D8"/>
    <w:rsid w:val="00D52666"/>
    <w:rsid w:val="00D52D47"/>
    <w:rsid w:val="00D55243"/>
    <w:rsid w:val="00D55E2A"/>
    <w:rsid w:val="00D565CE"/>
    <w:rsid w:val="00D56A42"/>
    <w:rsid w:val="00D57441"/>
    <w:rsid w:val="00D57528"/>
    <w:rsid w:val="00D578C2"/>
    <w:rsid w:val="00D57E37"/>
    <w:rsid w:val="00D601F6"/>
    <w:rsid w:val="00D605F7"/>
    <w:rsid w:val="00D608A7"/>
    <w:rsid w:val="00D61418"/>
    <w:rsid w:val="00D61B7D"/>
    <w:rsid w:val="00D61D4E"/>
    <w:rsid w:val="00D62572"/>
    <w:rsid w:val="00D6354B"/>
    <w:rsid w:val="00D637CE"/>
    <w:rsid w:val="00D63AAF"/>
    <w:rsid w:val="00D63E28"/>
    <w:rsid w:val="00D64281"/>
    <w:rsid w:val="00D643AC"/>
    <w:rsid w:val="00D64544"/>
    <w:rsid w:val="00D64E04"/>
    <w:rsid w:val="00D65534"/>
    <w:rsid w:val="00D656F6"/>
    <w:rsid w:val="00D659DC"/>
    <w:rsid w:val="00D66625"/>
    <w:rsid w:val="00D66684"/>
    <w:rsid w:val="00D66E92"/>
    <w:rsid w:val="00D67BD2"/>
    <w:rsid w:val="00D70710"/>
    <w:rsid w:val="00D70ABD"/>
    <w:rsid w:val="00D70D10"/>
    <w:rsid w:val="00D71900"/>
    <w:rsid w:val="00D720D0"/>
    <w:rsid w:val="00D723E5"/>
    <w:rsid w:val="00D730CF"/>
    <w:rsid w:val="00D73877"/>
    <w:rsid w:val="00D73E9B"/>
    <w:rsid w:val="00D745AE"/>
    <w:rsid w:val="00D74E15"/>
    <w:rsid w:val="00D758F5"/>
    <w:rsid w:val="00D75A42"/>
    <w:rsid w:val="00D7644F"/>
    <w:rsid w:val="00D772B1"/>
    <w:rsid w:val="00D775B8"/>
    <w:rsid w:val="00D7762F"/>
    <w:rsid w:val="00D80120"/>
    <w:rsid w:val="00D803A4"/>
    <w:rsid w:val="00D807AA"/>
    <w:rsid w:val="00D80C02"/>
    <w:rsid w:val="00D80D3E"/>
    <w:rsid w:val="00D812E3"/>
    <w:rsid w:val="00D813EF"/>
    <w:rsid w:val="00D818B7"/>
    <w:rsid w:val="00D8215E"/>
    <w:rsid w:val="00D82607"/>
    <w:rsid w:val="00D836D1"/>
    <w:rsid w:val="00D83D2E"/>
    <w:rsid w:val="00D84C01"/>
    <w:rsid w:val="00D859C9"/>
    <w:rsid w:val="00D85EAC"/>
    <w:rsid w:val="00D85EFE"/>
    <w:rsid w:val="00D869B1"/>
    <w:rsid w:val="00D86FAF"/>
    <w:rsid w:val="00D8791D"/>
    <w:rsid w:val="00D87A70"/>
    <w:rsid w:val="00D87F2C"/>
    <w:rsid w:val="00D90307"/>
    <w:rsid w:val="00D9097E"/>
    <w:rsid w:val="00D919A3"/>
    <w:rsid w:val="00D924F9"/>
    <w:rsid w:val="00D92D15"/>
    <w:rsid w:val="00D92F4C"/>
    <w:rsid w:val="00D92F68"/>
    <w:rsid w:val="00D937CC"/>
    <w:rsid w:val="00D938FC"/>
    <w:rsid w:val="00D93CB3"/>
    <w:rsid w:val="00D946CB"/>
    <w:rsid w:val="00D94C06"/>
    <w:rsid w:val="00D955AB"/>
    <w:rsid w:val="00D9567B"/>
    <w:rsid w:val="00D95AD5"/>
    <w:rsid w:val="00D95BB4"/>
    <w:rsid w:val="00D95BCC"/>
    <w:rsid w:val="00D9633E"/>
    <w:rsid w:val="00D964A9"/>
    <w:rsid w:val="00D96EBC"/>
    <w:rsid w:val="00DA0815"/>
    <w:rsid w:val="00DA0C3A"/>
    <w:rsid w:val="00DA0E00"/>
    <w:rsid w:val="00DA124F"/>
    <w:rsid w:val="00DA173F"/>
    <w:rsid w:val="00DA1C00"/>
    <w:rsid w:val="00DA2A31"/>
    <w:rsid w:val="00DA3CC9"/>
    <w:rsid w:val="00DA3D23"/>
    <w:rsid w:val="00DA40DD"/>
    <w:rsid w:val="00DA464D"/>
    <w:rsid w:val="00DA5284"/>
    <w:rsid w:val="00DA5449"/>
    <w:rsid w:val="00DA551F"/>
    <w:rsid w:val="00DA5808"/>
    <w:rsid w:val="00DA588C"/>
    <w:rsid w:val="00DA5A73"/>
    <w:rsid w:val="00DA60C6"/>
    <w:rsid w:val="00DA63E2"/>
    <w:rsid w:val="00DA644B"/>
    <w:rsid w:val="00DA645B"/>
    <w:rsid w:val="00DA6499"/>
    <w:rsid w:val="00DA6613"/>
    <w:rsid w:val="00DA6DB2"/>
    <w:rsid w:val="00DA70E5"/>
    <w:rsid w:val="00DA7246"/>
    <w:rsid w:val="00DA7450"/>
    <w:rsid w:val="00DA78D9"/>
    <w:rsid w:val="00DA7C0E"/>
    <w:rsid w:val="00DB0524"/>
    <w:rsid w:val="00DB0656"/>
    <w:rsid w:val="00DB06F2"/>
    <w:rsid w:val="00DB0A7F"/>
    <w:rsid w:val="00DB0ED3"/>
    <w:rsid w:val="00DB10F2"/>
    <w:rsid w:val="00DB126C"/>
    <w:rsid w:val="00DB12EE"/>
    <w:rsid w:val="00DB1320"/>
    <w:rsid w:val="00DB282D"/>
    <w:rsid w:val="00DB28C9"/>
    <w:rsid w:val="00DB349B"/>
    <w:rsid w:val="00DB3D2D"/>
    <w:rsid w:val="00DB4387"/>
    <w:rsid w:val="00DB538B"/>
    <w:rsid w:val="00DB58F0"/>
    <w:rsid w:val="00DB5C18"/>
    <w:rsid w:val="00DB5E00"/>
    <w:rsid w:val="00DB63A8"/>
    <w:rsid w:val="00DB6929"/>
    <w:rsid w:val="00DB69B2"/>
    <w:rsid w:val="00DB705D"/>
    <w:rsid w:val="00DB71E5"/>
    <w:rsid w:val="00DB73AE"/>
    <w:rsid w:val="00DB7549"/>
    <w:rsid w:val="00DC1725"/>
    <w:rsid w:val="00DC213C"/>
    <w:rsid w:val="00DC2291"/>
    <w:rsid w:val="00DC255C"/>
    <w:rsid w:val="00DC2E7A"/>
    <w:rsid w:val="00DC3496"/>
    <w:rsid w:val="00DC393E"/>
    <w:rsid w:val="00DC3BD8"/>
    <w:rsid w:val="00DC49FB"/>
    <w:rsid w:val="00DC4BB6"/>
    <w:rsid w:val="00DC4C3C"/>
    <w:rsid w:val="00DC4D13"/>
    <w:rsid w:val="00DC4E79"/>
    <w:rsid w:val="00DC4EB0"/>
    <w:rsid w:val="00DC5434"/>
    <w:rsid w:val="00DC5931"/>
    <w:rsid w:val="00DC5D44"/>
    <w:rsid w:val="00DC6B4F"/>
    <w:rsid w:val="00DC6C83"/>
    <w:rsid w:val="00DD06D3"/>
    <w:rsid w:val="00DD0830"/>
    <w:rsid w:val="00DD1D96"/>
    <w:rsid w:val="00DD2181"/>
    <w:rsid w:val="00DD28C6"/>
    <w:rsid w:val="00DD3940"/>
    <w:rsid w:val="00DD3FE0"/>
    <w:rsid w:val="00DD42DA"/>
    <w:rsid w:val="00DD48F7"/>
    <w:rsid w:val="00DD4E76"/>
    <w:rsid w:val="00DD5615"/>
    <w:rsid w:val="00DD5AA3"/>
    <w:rsid w:val="00DD5B61"/>
    <w:rsid w:val="00DD5E7C"/>
    <w:rsid w:val="00DD5FE7"/>
    <w:rsid w:val="00DD6685"/>
    <w:rsid w:val="00DD66E5"/>
    <w:rsid w:val="00DD703F"/>
    <w:rsid w:val="00DD721A"/>
    <w:rsid w:val="00DD7C31"/>
    <w:rsid w:val="00DE0080"/>
    <w:rsid w:val="00DE0199"/>
    <w:rsid w:val="00DE02DA"/>
    <w:rsid w:val="00DE034A"/>
    <w:rsid w:val="00DE068A"/>
    <w:rsid w:val="00DE0B71"/>
    <w:rsid w:val="00DE10DF"/>
    <w:rsid w:val="00DE1706"/>
    <w:rsid w:val="00DE19DD"/>
    <w:rsid w:val="00DE1F6D"/>
    <w:rsid w:val="00DE26A0"/>
    <w:rsid w:val="00DE26D4"/>
    <w:rsid w:val="00DE29FD"/>
    <w:rsid w:val="00DE2A60"/>
    <w:rsid w:val="00DE327C"/>
    <w:rsid w:val="00DE3D71"/>
    <w:rsid w:val="00DE421F"/>
    <w:rsid w:val="00DE465A"/>
    <w:rsid w:val="00DE4C27"/>
    <w:rsid w:val="00DE573F"/>
    <w:rsid w:val="00DE5A5E"/>
    <w:rsid w:val="00DE5B9C"/>
    <w:rsid w:val="00DE632A"/>
    <w:rsid w:val="00DE63DB"/>
    <w:rsid w:val="00DE6574"/>
    <w:rsid w:val="00DE74E1"/>
    <w:rsid w:val="00DE7CDB"/>
    <w:rsid w:val="00DE7E9D"/>
    <w:rsid w:val="00DF08F0"/>
    <w:rsid w:val="00DF0994"/>
    <w:rsid w:val="00DF1E92"/>
    <w:rsid w:val="00DF34E7"/>
    <w:rsid w:val="00DF3664"/>
    <w:rsid w:val="00DF37C4"/>
    <w:rsid w:val="00DF3C83"/>
    <w:rsid w:val="00DF444E"/>
    <w:rsid w:val="00DF4874"/>
    <w:rsid w:val="00DF5943"/>
    <w:rsid w:val="00DF5B9B"/>
    <w:rsid w:val="00DF6D7D"/>
    <w:rsid w:val="00DF6FC8"/>
    <w:rsid w:val="00DF7B6C"/>
    <w:rsid w:val="00DF7DF9"/>
    <w:rsid w:val="00E0064A"/>
    <w:rsid w:val="00E007DC"/>
    <w:rsid w:val="00E01440"/>
    <w:rsid w:val="00E01A5B"/>
    <w:rsid w:val="00E01ABB"/>
    <w:rsid w:val="00E0226B"/>
    <w:rsid w:val="00E02286"/>
    <w:rsid w:val="00E024AA"/>
    <w:rsid w:val="00E025B3"/>
    <w:rsid w:val="00E02D9F"/>
    <w:rsid w:val="00E03204"/>
    <w:rsid w:val="00E03227"/>
    <w:rsid w:val="00E03338"/>
    <w:rsid w:val="00E037F3"/>
    <w:rsid w:val="00E0389C"/>
    <w:rsid w:val="00E04457"/>
    <w:rsid w:val="00E04745"/>
    <w:rsid w:val="00E04979"/>
    <w:rsid w:val="00E04B1B"/>
    <w:rsid w:val="00E0519D"/>
    <w:rsid w:val="00E052E0"/>
    <w:rsid w:val="00E06493"/>
    <w:rsid w:val="00E06667"/>
    <w:rsid w:val="00E0676C"/>
    <w:rsid w:val="00E06A9C"/>
    <w:rsid w:val="00E06AAD"/>
    <w:rsid w:val="00E06D10"/>
    <w:rsid w:val="00E07186"/>
    <w:rsid w:val="00E07E88"/>
    <w:rsid w:val="00E1018B"/>
    <w:rsid w:val="00E102AC"/>
    <w:rsid w:val="00E10633"/>
    <w:rsid w:val="00E106D4"/>
    <w:rsid w:val="00E1140D"/>
    <w:rsid w:val="00E11499"/>
    <w:rsid w:val="00E12212"/>
    <w:rsid w:val="00E1230F"/>
    <w:rsid w:val="00E124F0"/>
    <w:rsid w:val="00E128CA"/>
    <w:rsid w:val="00E129F5"/>
    <w:rsid w:val="00E130AD"/>
    <w:rsid w:val="00E133A1"/>
    <w:rsid w:val="00E13C1D"/>
    <w:rsid w:val="00E146E1"/>
    <w:rsid w:val="00E147E2"/>
    <w:rsid w:val="00E15672"/>
    <w:rsid w:val="00E15FAF"/>
    <w:rsid w:val="00E169B2"/>
    <w:rsid w:val="00E16B26"/>
    <w:rsid w:val="00E17052"/>
    <w:rsid w:val="00E174C4"/>
    <w:rsid w:val="00E202B9"/>
    <w:rsid w:val="00E204AC"/>
    <w:rsid w:val="00E20AA4"/>
    <w:rsid w:val="00E20F5E"/>
    <w:rsid w:val="00E21326"/>
    <w:rsid w:val="00E21657"/>
    <w:rsid w:val="00E21B2D"/>
    <w:rsid w:val="00E21C1D"/>
    <w:rsid w:val="00E22598"/>
    <w:rsid w:val="00E22703"/>
    <w:rsid w:val="00E2273E"/>
    <w:rsid w:val="00E2297E"/>
    <w:rsid w:val="00E22A87"/>
    <w:rsid w:val="00E2372B"/>
    <w:rsid w:val="00E24293"/>
    <w:rsid w:val="00E24DF5"/>
    <w:rsid w:val="00E26517"/>
    <w:rsid w:val="00E2677E"/>
    <w:rsid w:val="00E27388"/>
    <w:rsid w:val="00E27414"/>
    <w:rsid w:val="00E27B34"/>
    <w:rsid w:val="00E27FF7"/>
    <w:rsid w:val="00E30217"/>
    <w:rsid w:val="00E30522"/>
    <w:rsid w:val="00E3081C"/>
    <w:rsid w:val="00E30E55"/>
    <w:rsid w:val="00E31494"/>
    <w:rsid w:val="00E31724"/>
    <w:rsid w:val="00E32D5F"/>
    <w:rsid w:val="00E32E27"/>
    <w:rsid w:val="00E3329D"/>
    <w:rsid w:val="00E33315"/>
    <w:rsid w:val="00E333CA"/>
    <w:rsid w:val="00E33CFB"/>
    <w:rsid w:val="00E33E13"/>
    <w:rsid w:val="00E343CE"/>
    <w:rsid w:val="00E34775"/>
    <w:rsid w:val="00E34D7A"/>
    <w:rsid w:val="00E350C5"/>
    <w:rsid w:val="00E35EFC"/>
    <w:rsid w:val="00E3698B"/>
    <w:rsid w:val="00E37018"/>
    <w:rsid w:val="00E3718E"/>
    <w:rsid w:val="00E377E4"/>
    <w:rsid w:val="00E37C79"/>
    <w:rsid w:val="00E37CFD"/>
    <w:rsid w:val="00E37E23"/>
    <w:rsid w:val="00E4018B"/>
    <w:rsid w:val="00E410E6"/>
    <w:rsid w:val="00E4153D"/>
    <w:rsid w:val="00E41649"/>
    <w:rsid w:val="00E416FD"/>
    <w:rsid w:val="00E419DB"/>
    <w:rsid w:val="00E41CDC"/>
    <w:rsid w:val="00E4219B"/>
    <w:rsid w:val="00E424EE"/>
    <w:rsid w:val="00E427F8"/>
    <w:rsid w:val="00E42B66"/>
    <w:rsid w:val="00E42E77"/>
    <w:rsid w:val="00E43709"/>
    <w:rsid w:val="00E4374A"/>
    <w:rsid w:val="00E438B2"/>
    <w:rsid w:val="00E44260"/>
    <w:rsid w:val="00E45FCB"/>
    <w:rsid w:val="00E45FD0"/>
    <w:rsid w:val="00E46451"/>
    <w:rsid w:val="00E476C5"/>
    <w:rsid w:val="00E50D16"/>
    <w:rsid w:val="00E512F6"/>
    <w:rsid w:val="00E51679"/>
    <w:rsid w:val="00E5352E"/>
    <w:rsid w:val="00E53576"/>
    <w:rsid w:val="00E53F85"/>
    <w:rsid w:val="00E543FC"/>
    <w:rsid w:val="00E54682"/>
    <w:rsid w:val="00E54EEF"/>
    <w:rsid w:val="00E55018"/>
    <w:rsid w:val="00E55167"/>
    <w:rsid w:val="00E558E7"/>
    <w:rsid w:val="00E55AB3"/>
    <w:rsid w:val="00E55B6D"/>
    <w:rsid w:val="00E55D6C"/>
    <w:rsid w:val="00E56169"/>
    <w:rsid w:val="00E565BE"/>
    <w:rsid w:val="00E56739"/>
    <w:rsid w:val="00E56838"/>
    <w:rsid w:val="00E57454"/>
    <w:rsid w:val="00E60160"/>
    <w:rsid w:val="00E6042E"/>
    <w:rsid w:val="00E61051"/>
    <w:rsid w:val="00E62937"/>
    <w:rsid w:val="00E62DB0"/>
    <w:rsid w:val="00E6317F"/>
    <w:rsid w:val="00E6390B"/>
    <w:rsid w:val="00E64242"/>
    <w:rsid w:val="00E6432D"/>
    <w:rsid w:val="00E6441D"/>
    <w:rsid w:val="00E644BA"/>
    <w:rsid w:val="00E64634"/>
    <w:rsid w:val="00E646D4"/>
    <w:rsid w:val="00E64815"/>
    <w:rsid w:val="00E64FBA"/>
    <w:rsid w:val="00E653FA"/>
    <w:rsid w:val="00E6549E"/>
    <w:rsid w:val="00E65B70"/>
    <w:rsid w:val="00E65E86"/>
    <w:rsid w:val="00E6676B"/>
    <w:rsid w:val="00E66779"/>
    <w:rsid w:val="00E66F26"/>
    <w:rsid w:val="00E67093"/>
    <w:rsid w:val="00E670AC"/>
    <w:rsid w:val="00E67950"/>
    <w:rsid w:val="00E67E4C"/>
    <w:rsid w:val="00E71718"/>
    <w:rsid w:val="00E71D34"/>
    <w:rsid w:val="00E7204F"/>
    <w:rsid w:val="00E727CF"/>
    <w:rsid w:val="00E72EF4"/>
    <w:rsid w:val="00E73F37"/>
    <w:rsid w:val="00E74367"/>
    <w:rsid w:val="00E74886"/>
    <w:rsid w:val="00E74D7B"/>
    <w:rsid w:val="00E75DD0"/>
    <w:rsid w:val="00E760A3"/>
    <w:rsid w:val="00E771BC"/>
    <w:rsid w:val="00E7754A"/>
    <w:rsid w:val="00E77AE1"/>
    <w:rsid w:val="00E80802"/>
    <w:rsid w:val="00E80CE8"/>
    <w:rsid w:val="00E8110B"/>
    <w:rsid w:val="00E8128C"/>
    <w:rsid w:val="00E81A2E"/>
    <w:rsid w:val="00E81C66"/>
    <w:rsid w:val="00E81FED"/>
    <w:rsid w:val="00E820ED"/>
    <w:rsid w:val="00E8213A"/>
    <w:rsid w:val="00E821BE"/>
    <w:rsid w:val="00E82315"/>
    <w:rsid w:val="00E82958"/>
    <w:rsid w:val="00E830EE"/>
    <w:rsid w:val="00E83D17"/>
    <w:rsid w:val="00E84147"/>
    <w:rsid w:val="00E841AA"/>
    <w:rsid w:val="00E84B0B"/>
    <w:rsid w:val="00E84FEF"/>
    <w:rsid w:val="00E85C6D"/>
    <w:rsid w:val="00E85C91"/>
    <w:rsid w:val="00E861C8"/>
    <w:rsid w:val="00E868EA"/>
    <w:rsid w:val="00E86BFC"/>
    <w:rsid w:val="00E87321"/>
    <w:rsid w:val="00E87BAA"/>
    <w:rsid w:val="00E90218"/>
    <w:rsid w:val="00E90B3A"/>
    <w:rsid w:val="00E91694"/>
    <w:rsid w:val="00E9201A"/>
    <w:rsid w:val="00E9281F"/>
    <w:rsid w:val="00E92D92"/>
    <w:rsid w:val="00E93CC2"/>
    <w:rsid w:val="00E93CD1"/>
    <w:rsid w:val="00E9451A"/>
    <w:rsid w:val="00E94799"/>
    <w:rsid w:val="00E9537E"/>
    <w:rsid w:val="00E955E3"/>
    <w:rsid w:val="00E95AC4"/>
    <w:rsid w:val="00E95FBC"/>
    <w:rsid w:val="00E96251"/>
    <w:rsid w:val="00E96C39"/>
    <w:rsid w:val="00EA043F"/>
    <w:rsid w:val="00EA115A"/>
    <w:rsid w:val="00EA1421"/>
    <w:rsid w:val="00EA1AF4"/>
    <w:rsid w:val="00EA1CA5"/>
    <w:rsid w:val="00EA1E07"/>
    <w:rsid w:val="00EA270A"/>
    <w:rsid w:val="00EA2DF9"/>
    <w:rsid w:val="00EA3018"/>
    <w:rsid w:val="00EA3188"/>
    <w:rsid w:val="00EA329C"/>
    <w:rsid w:val="00EA4060"/>
    <w:rsid w:val="00EA4239"/>
    <w:rsid w:val="00EA442B"/>
    <w:rsid w:val="00EA476B"/>
    <w:rsid w:val="00EA47BE"/>
    <w:rsid w:val="00EA4BDE"/>
    <w:rsid w:val="00EA4F37"/>
    <w:rsid w:val="00EA50E1"/>
    <w:rsid w:val="00EA65FD"/>
    <w:rsid w:val="00EA7EBB"/>
    <w:rsid w:val="00EB0234"/>
    <w:rsid w:val="00EB080A"/>
    <w:rsid w:val="00EB086E"/>
    <w:rsid w:val="00EB08BB"/>
    <w:rsid w:val="00EB18AA"/>
    <w:rsid w:val="00EB18EC"/>
    <w:rsid w:val="00EB1A41"/>
    <w:rsid w:val="00EB1D40"/>
    <w:rsid w:val="00EB2362"/>
    <w:rsid w:val="00EB2A33"/>
    <w:rsid w:val="00EB2E8D"/>
    <w:rsid w:val="00EB3041"/>
    <w:rsid w:val="00EB32B8"/>
    <w:rsid w:val="00EB4367"/>
    <w:rsid w:val="00EB43E2"/>
    <w:rsid w:val="00EB44BD"/>
    <w:rsid w:val="00EB4691"/>
    <w:rsid w:val="00EB5304"/>
    <w:rsid w:val="00EB64C4"/>
    <w:rsid w:val="00EB663E"/>
    <w:rsid w:val="00EB6AE8"/>
    <w:rsid w:val="00EB705C"/>
    <w:rsid w:val="00EB7301"/>
    <w:rsid w:val="00EB751F"/>
    <w:rsid w:val="00EB7650"/>
    <w:rsid w:val="00EB79DA"/>
    <w:rsid w:val="00EC038D"/>
    <w:rsid w:val="00EC0D5E"/>
    <w:rsid w:val="00EC13BA"/>
    <w:rsid w:val="00EC1F65"/>
    <w:rsid w:val="00EC218A"/>
    <w:rsid w:val="00EC2906"/>
    <w:rsid w:val="00EC2947"/>
    <w:rsid w:val="00EC4189"/>
    <w:rsid w:val="00EC4564"/>
    <w:rsid w:val="00EC47EB"/>
    <w:rsid w:val="00EC4D7B"/>
    <w:rsid w:val="00EC5488"/>
    <w:rsid w:val="00EC62E4"/>
    <w:rsid w:val="00EC637D"/>
    <w:rsid w:val="00EC6C81"/>
    <w:rsid w:val="00EC711E"/>
    <w:rsid w:val="00EC7FB1"/>
    <w:rsid w:val="00ED15EB"/>
    <w:rsid w:val="00ED2850"/>
    <w:rsid w:val="00ED2C41"/>
    <w:rsid w:val="00ED2C9D"/>
    <w:rsid w:val="00ED33BC"/>
    <w:rsid w:val="00ED3950"/>
    <w:rsid w:val="00ED44F6"/>
    <w:rsid w:val="00ED4FD4"/>
    <w:rsid w:val="00ED526B"/>
    <w:rsid w:val="00ED533F"/>
    <w:rsid w:val="00ED5FEF"/>
    <w:rsid w:val="00ED65DE"/>
    <w:rsid w:val="00ED6604"/>
    <w:rsid w:val="00ED6F1A"/>
    <w:rsid w:val="00ED6F4F"/>
    <w:rsid w:val="00ED7002"/>
    <w:rsid w:val="00ED724C"/>
    <w:rsid w:val="00ED767D"/>
    <w:rsid w:val="00ED7DF9"/>
    <w:rsid w:val="00EE07F4"/>
    <w:rsid w:val="00EE0C18"/>
    <w:rsid w:val="00EE0EE1"/>
    <w:rsid w:val="00EE10D0"/>
    <w:rsid w:val="00EE28A8"/>
    <w:rsid w:val="00EE2C91"/>
    <w:rsid w:val="00EE311C"/>
    <w:rsid w:val="00EE43EA"/>
    <w:rsid w:val="00EE4755"/>
    <w:rsid w:val="00EE5430"/>
    <w:rsid w:val="00EE653A"/>
    <w:rsid w:val="00EF0612"/>
    <w:rsid w:val="00EF0843"/>
    <w:rsid w:val="00EF0A73"/>
    <w:rsid w:val="00EF0ACE"/>
    <w:rsid w:val="00EF0C0C"/>
    <w:rsid w:val="00EF0CA7"/>
    <w:rsid w:val="00EF100A"/>
    <w:rsid w:val="00EF18D0"/>
    <w:rsid w:val="00EF2200"/>
    <w:rsid w:val="00EF236F"/>
    <w:rsid w:val="00EF2488"/>
    <w:rsid w:val="00EF327B"/>
    <w:rsid w:val="00EF4284"/>
    <w:rsid w:val="00EF4380"/>
    <w:rsid w:val="00EF461F"/>
    <w:rsid w:val="00EF53D3"/>
    <w:rsid w:val="00EF5775"/>
    <w:rsid w:val="00EF5BA4"/>
    <w:rsid w:val="00EF5DB9"/>
    <w:rsid w:val="00EF5F08"/>
    <w:rsid w:val="00EF6190"/>
    <w:rsid w:val="00EF6B6F"/>
    <w:rsid w:val="00EF6CB2"/>
    <w:rsid w:val="00EF6E88"/>
    <w:rsid w:val="00EF7703"/>
    <w:rsid w:val="00EF790A"/>
    <w:rsid w:val="00EF7982"/>
    <w:rsid w:val="00EF7B4F"/>
    <w:rsid w:val="00EF7D6B"/>
    <w:rsid w:val="00F00798"/>
    <w:rsid w:val="00F007EA"/>
    <w:rsid w:val="00F0081C"/>
    <w:rsid w:val="00F00901"/>
    <w:rsid w:val="00F00984"/>
    <w:rsid w:val="00F00B01"/>
    <w:rsid w:val="00F00F94"/>
    <w:rsid w:val="00F0124D"/>
    <w:rsid w:val="00F01386"/>
    <w:rsid w:val="00F015DC"/>
    <w:rsid w:val="00F01907"/>
    <w:rsid w:val="00F01E4B"/>
    <w:rsid w:val="00F02806"/>
    <w:rsid w:val="00F0351F"/>
    <w:rsid w:val="00F036D7"/>
    <w:rsid w:val="00F03884"/>
    <w:rsid w:val="00F050C9"/>
    <w:rsid w:val="00F053D3"/>
    <w:rsid w:val="00F059F1"/>
    <w:rsid w:val="00F05EFA"/>
    <w:rsid w:val="00F06034"/>
    <w:rsid w:val="00F06A58"/>
    <w:rsid w:val="00F06F24"/>
    <w:rsid w:val="00F0777A"/>
    <w:rsid w:val="00F10371"/>
    <w:rsid w:val="00F104D0"/>
    <w:rsid w:val="00F10680"/>
    <w:rsid w:val="00F10AA6"/>
    <w:rsid w:val="00F1103B"/>
    <w:rsid w:val="00F110D7"/>
    <w:rsid w:val="00F117AD"/>
    <w:rsid w:val="00F11E45"/>
    <w:rsid w:val="00F1422C"/>
    <w:rsid w:val="00F1464A"/>
    <w:rsid w:val="00F15351"/>
    <w:rsid w:val="00F155AD"/>
    <w:rsid w:val="00F15F04"/>
    <w:rsid w:val="00F1652C"/>
    <w:rsid w:val="00F16BDA"/>
    <w:rsid w:val="00F16D45"/>
    <w:rsid w:val="00F178C4"/>
    <w:rsid w:val="00F200C3"/>
    <w:rsid w:val="00F207B7"/>
    <w:rsid w:val="00F207E3"/>
    <w:rsid w:val="00F210D9"/>
    <w:rsid w:val="00F216F0"/>
    <w:rsid w:val="00F2183D"/>
    <w:rsid w:val="00F222A0"/>
    <w:rsid w:val="00F224B6"/>
    <w:rsid w:val="00F22E55"/>
    <w:rsid w:val="00F22ECF"/>
    <w:rsid w:val="00F23307"/>
    <w:rsid w:val="00F234B1"/>
    <w:rsid w:val="00F2375E"/>
    <w:rsid w:val="00F23950"/>
    <w:rsid w:val="00F23F15"/>
    <w:rsid w:val="00F24139"/>
    <w:rsid w:val="00F24C1E"/>
    <w:rsid w:val="00F24C86"/>
    <w:rsid w:val="00F258E4"/>
    <w:rsid w:val="00F26076"/>
    <w:rsid w:val="00F2632C"/>
    <w:rsid w:val="00F267F0"/>
    <w:rsid w:val="00F26CE3"/>
    <w:rsid w:val="00F26E81"/>
    <w:rsid w:val="00F27528"/>
    <w:rsid w:val="00F276C0"/>
    <w:rsid w:val="00F27A6A"/>
    <w:rsid w:val="00F27F2E"/>
    <w:rsid w:val="00F30023"/>
    <w:rsid w:val="00F30649"/>
    <w:rsid w:val="00F30A02"/>
    <w:rsid w:val="00F30A85"/>
    <w:rsid w:val="00F30D21"/>
    <w:rsid w:val="00F31122"/>
    <w:rsid w:val="00F312CD"/>
    <w:rsid w:val="00F3158B"/>
    <w:rsid w:val="00F316E7"/>
    <w:rsid w:val="00F31EB2"/>
    <w:rsid w:val="00F32053"/>
    <w:rsid w:val="00F322EB"/>
    <w:rsid w:val="00F32B7C"/>
    <w:rsid w:val="00F32D28"/>
    <w:rsid w:val="00F32EFB"/>
    <w:rsid w:val="00F332B5"/>
    <w:rsid w:val="00F337FF"/>
    <w:rsid w:val="00F33A5F"/>
    <w:rsid w:val="00F33B2A"/>
    <w:rsid w:val="00F33C48"/>
    <w:rsid w:val="00F33FA3"/>
    <w:rsid w:val="00F347AC"/>
    <w:rsid w:val="00F34AC7"/>
    <w:rsid w:val="00F35D2D"/>
    <w:rsid w:val="00F35D44"/>
    <w:rsid w:val="00F35EB0"/>
    <w:rsid w:val="00F36317"/>
    <w:rsid w:val="00F364CD"/>
    <w:rsid w:val="00F36FF5"/>
    <w:rsid w:val="00F37130"/>
    <w:rsid w:val="00F403A7"/>
    <w:rsid w:val="00F41679"/>
    <w:rsid w:val="00F41810"/>
    <w:rsid w:val="00F41B4A"/>
    <w:rsid w:val="00F41C0A"/>
    <w:rsid w:val="00F42063"/>
    <w:rsid w:val="00F4217B"/>
    <w:rsid w:val="00F422F3"/>
    <w:rsid w:val="00F429B7"/>
    <w:rsid w:val="00F42B35"/>
    <w:rsid w:val="00F43A1C"/>
    <w:rsid w:val="00F43A9C"/>
    <w:rsid w:val="00F43B20"/>
    <w:rsid w:val="00F43F71"/>
    <w:rsid w:val="00F4411E"/>
    <w:rsid w:val="00F44370"/>
    <w:rsid w:val="00F4494A"/>
    <w:rsid w:val="00F44D60"/>
    <w:rsid w:val="00F45267"/>
    <w:rsid w:val="00F459F5"/>
    <w:rsid w:val="00F45D14"/>
    <w:rsid w:val="00F45FDA"/>
    <w:rsid w:val="00F46E56"/>
    <w:rsid w:val="00F46FA2"/>
    <w:rsid w:val="00F47484"/>
    <w:rsid w:val="00F47916"/>
    <w:rsid w:val="00F47978"/>
    <w:rsid w:val="00F50F80"/>
    <w:rsid w:val="00F51451"/>
    <w:rsid w:val="00F51747"/>
    <w:rsid w:val="00F51D42"/>
    <w:rsid w:val="00F51D49"/>
    <w:rsid w:val="00F523D6"/>
    <w:rsid w:val="00F52BC5"/>
    <w:rsid w:val="00F5352A"/>
    <w:rsid w:val="00F53595"/>
    <w:rsid w:val="00F536D9"/>
    <w:rsid w:val="00F53EC5"/>
    <w:rsid w:val="00F53FD8"/>
    <w:rsid w:val="00F5412E"/>
    <w:rsid w:val="00F546C2"/>
    <w:rsid w:val="00F54DC4"/>
    <w:rsid w:val="00F555F0"/>
    <w:rsid w:val="00F5581B"/>
    <w:rsid w:val="00F55D67"/>
    <w:rsid w:val="00F56A16"/>
    <w:rsid w:val="00F57B54"/>
    <w:rsid w:val="00F57EC7"/>
    <w:rsid w:val="00F60093"/>
    <w:rsid w:val="00F6046D"/>
    <w:rsid w:val="00F60BC6"/>
    <w:rsid w:val="00F60C65"/>
    <w:rsid w:val="00F618EC"/>
    <w:rsid w:val="00F61CCD"/>
    <w:rsid w:val="00F62043"/>
    <w:rsid w:val="00F62131"/>
    <w:rsid w:val="00F635A3"/>
    <w:rsid w:val="00F6465E"/>
    <w:rsid w:val="00F646A2"/>
    <w:rsid w:val="00F648DD"/>
    <w:rsid w:val="00F650C4"/>
    <w:rsid w:val="00F652FD"/>
    <w:rsid w:val="00F655E3"/>
    <w:rsid w:val="00F6570D"/>
    <w:rsid w:val="00F65F1F"/>
    <w:rsid w:val="00F65F9A"/>
    <w:rsid w:val="00F65FDD"/>
    <w:rsid w:val="00F660AC"/>
    <w:rsid w:val="00F66C58"/>
    <w:rsid w:val="00F673A4"/>
    <w:rsid w:val="00F67689"/>
    <w:rsid w:val="00F67942"/>
    <w:rsid w:val="00F701B3"/>
    <w:rsid w:val="00F704C5"/>
    <w:rsid w:val="00F7062B"/>
    <w:rsid w:val="00F709E6"/>
    <w:rsid w:val="00F7104B"/>
    <w:rsid w:val="00F713C9"/>
    <w:rsid w:val="00F72269"/>
    <w:rsid w:val="00F7241F"/>
    <w:rsid w:val="00F735C0"/>
    <w:rsid w:val="00F73A79"/>
    <w:rsid w:val="00F74106"/>
    <w:rsid w:val="00F74558"/>
    <w:rsid w:val="00F745CF"/>
    <w:rsid w:val="00F748FE"/>
    <w:rsid w:val="00F74E9D"/>
    <w:rsid w:val="00F75256"/>
    <w:rsid w:val="00F7604B"/>
    <w:rsid w:val="00F76695"/>
    <w:rsid w:val="00F7715F"/>
    <w:rsid w:val="00F771BF"/>
    <w:rsid w:val="00F7780E"/>
    <w:rsid w:val="00F8005B"/>
    <w:rsid w:val="00F8026F"/>
    <w:rsid w:val="00F807AD"/>
    <w:rsid w:val="00F80F88"/>
    <w:rsid w:val="00F8156F"/>
    <w:rsid w:val="00F819C4"/>
    <w:rsid w:val="00F82068"/>
    <w:rsid w:val="00F82431"/>
    <w:rsid w:val="00F824F6"/>
    <w:rsid w:val="00F82982"/>
    <w:rsid w:val="00F83506"/>
    <w:rsid w:val="00F8358F"/>
    <w:rsid w:val="00F83614"/>
    <w:rsid w:val="00F836C2"/>
    <w:rsid w:val="00F83B74"/>
    <w:rsid w:val="00F83C9F"/>
    <w:rsid w:val="00F84CDB"/>
    <w:rsid w:val="00F84E20"/>
    <w:rsid w:val="00F85C4A"/>
    <w:rsid w:val="00F86405"/>
    <w:rsid w:val="00F86657"/>
    <w:rsid w:val="00F86A13"/>
    <w:rsid w:val="00F874A4"/>
    <w:rsid w:val="00F90349"/>
    <w:rsid w:val="00F90D52"/>
    <w:rsid w:val="00F912C8"/>
    <w:rsid w:val="00F912DD"/>
    <w:rsid w:val="00F91F62"/>
    <w:rsid w:val="00F9298F"/>
    <w:rsid w:val="00F93089"/>
    <w:rsid w:val="00F933CB"/>
    <w:rsid w:val="00F93C91"/>
    <w:rsid w:val="00F93DC3"/>
    <w:rsid w:val="00F93EC0"/>
    <w:rsid w:val="00F94415"/>
    <w:rsid w:val="00F94557"/>
    <w:rsid w:val="00F94967"/>
    <w:rsid w:val="00F94A01"/>
    <w:rsid w:val="00F94E99"/>
    <w:rsid w:val="00F95AB4"/>
    <w:rsid w:val="00F9601C"/>
    <w:rsid w:val="00F9642A"/>
    <w:rsid w:val="00F96B51"/>
    <w:rsid w:val="00F96F97"/>
    <w:rsid w:val="00F97385"/>
    <w:rsid w:val="00F97B58"/>
    <w:rsid w:val="00FA03D3"/>
    <w:rsid w:val="00FA05F2"/>
    <w:rsid w:val="00FA0D96"/>
    <w:rsid w:val="00FA1412"/>
    <w:rsid w:val="00FA1977"/>
    <w:rsid w:val="00FA2119"/>
    <w:rsid w:val="00FA21BD"/>
    <w:rsid w:val="00FA227F"/>
    <w:rsid w:val="00FA31D3"/>
    <w:rsid w:val="00FA3423"/>
    <w:rsid w:val="00FA3EC6"/>
    <w:rsid w:val="00FA4020"/>
    <w:rsid w:val="00FA4028"/>
    <w:rsid w:val="00FA4638"/>
    <w:rsid w:val="00FA5021"/>
    <w:rsid w:val="00FA55D7"/>
    <w:rsid w:val="00FA5618"/>
    <w:rsid w:val="00FA71C4"/>
    <w:rsid w:val="00FA7E40"/>
    <w:rsid w:val="00FB0A98"/>
    <w:rsid w:val="00FB0AD4"/>
    <w:rsid w:val="00FB103D"/>
    <w:rsid w:val="00FB12D7"/>
    <w:rsid w:val="00FB141A"/>
    <w:rsid w:val="00FB169C"/>
    <w:rsid w:val="00FB16C4"/>
    <w:rsid w:val="00FB19E7"/>
    <w:rsid w:val="00FB19ED"/>
    <w:rsid w:val="00FB1B26"/>
    <w:rsid w:val="00FB1DC3"/>
    <w:rsid w:val="00FB237A"/>
    <w:rsid w:val="00FB24C4"/>
    <w:rsid w:val="00FB305A"/>
    <w:rsid w:val="00FB4122"/>
    <w:rsid w:val="00FB4D00"/>
    <w:rsid w:val="00FB522D"/>
    <w:rsid w:val="00FB5E08"/>
    <w:rsid w:val="00FB615E"/>
    <w:rsid w:val="00FB698B"/>
    <w:rsid w:val="00FB6D34"/>
    <w:rsid w:val="00FB6FDA"/>
    <w:rsid w:val="00FB79B3"/>
    <w:rsid w:val="00FB7B1C"/>
    <w:rsid w:val="00FC0093"/>
    <w:rsid w:val="00FC063D"/>
    <w:rsid w:val="00FC0763"/>
    <w:rsid w:val="00FC10A1"/>
    <w:rsid w:val="00FC14B7"/>
    <w:rsid w:val="00FC1E78"/>
    <w:rsid w:val="00FC2AC6"/>
    <w:rsid w:val="00FC34BC"/>
    <w:rsid w:val="00FC3569"/>
    <w:rsid w:val="00FC365A"/>
    <w:rsid w:val="00FC4B3D"/>
    <w:rsid w:val="00FC5093"/>
    <w:rsid w:val="00FC555B"/>
    <w:rsid w:val="00FC5918"/>
    <w:rsid w:val="00FC5AA6"/>
    <w:rsid w:val="00FC5AED"/>
    <w:rsid w:val="00FC5C1C"/>
    <w:rsid w:val="00FC6196"/>
    <w:rsid w:val="00FC62DD"/>
    <w:rsid w:val="00FC6376"/>
    <w:rsid w:val="00FC65FF"/>
    <w:rsid w:val="00FC66B3"/>
    <w:rsid w:val="00FC6A9B"/>
    <w:rsid w:val="00FC6BDA"/>
    <w:rsid w:val="00FC6C35"/>
    <w:rsid w:val="00FC6D3C"/>
    <w:rsid w:val="00FC6E5E"/>
    <w:rsid w:val="00FC6E64"/>
    <w:rsid w:val="00FC712B"/>
    <w:rsid w:val="00FC7193"/>
    <w:rsid w:val="00FD029D"/>
    <w:rsid w:val="00FD03A0"/>
    <w:rsid w:val="00FD075B"/>
    <w:rsid w:val="00FD0F98"/>
    <w:rsid w:val="00FD120F"/>
    <w:rsid w:val="00FD141E"/>
    <w:rsid w:val="00FD15AD"/>
    <w:rsid w:val="00FD192F"/>
    <w:rsid w:val="00FD19BD"/>
    <w:rsid w:val="00FD1A40"/>
    <w:rsid w:val="00FD1C0B"/>
    <w:rsid w:val="00FD2011"/>
    <w:rsid w:val="00FD2D8B"/>
    <w:rsid w:val="00FD3368"/>
    <w:rsid w:val="00FD3453"/>
    <w:rsid w:val="00FD34D2"/>
    <w:rsid w:val="00FD3B5D"/>
    <w:rsid w:val="00FD3C45"/>
    <w:rsid w:val="00FD4424"/>
    <w:rsid w:val="00FD5297"/>
    <w:rsid w:val="00FD57E4"/>
    <w:rsid w:val="00FD5B0A"/>
    <w:rsid w:val="00FD635F"/>
    <w:rsid w:val="00FD6714"/>
    <w:rsid w:val="00FD6C0E"/>
    <w:rsid w:val="00FD6C15"/>
    <w:rsid w:val="00FD6F4E"/>
    <w:rsid w:val="00FD7077"/>
    <w:rsid w:val="00FD7180"/>
    <w:rsid w:val="00FD7913"/>
    <w:rsid w:val="00FD7FC4"/>
    <w:rsid w:val="00FE0339"/>
    <w:rsid w:val="00FE04AF"/>
    <w:rsid w:val="00FE0CD7"/>
    <w:rsid w:val="00FE133E"/>
    <w:rsid w:val="00FE1667"/>
    <w:rsid w:val="00FE1CB2"/>
    <w:rsid w:val="00FE2398"/>
    <w:rsid w:val="00FE2BCF"/>
    <w:rsid w:val="00FE2FE9"/>
    <w:rsid w:val="00FE30EA"/>
    <w:rsid w:val="00FE3561"/>
    <w:rsid w:val="00FE3A94"/>
    <w:rsid w:val="00FE3D0E"/>
    <w:rsid w:val="00FE3F70"/>
    <w:rsid w:val="00FE4352"/>
    <w:rsid w:val="00FE5FD6"/>
    <w:rsid w:val="00FE6220"/>
    <w:rsid w:val="00FE6280"/>
    <w:rsid w:val="00FE67B5"/>
    <w:rsid w:val="00FE6AE9"/>
    <w:rsid w:val="00FE6D76"/>
    <w:rsid w:val="00FE7A75"/>
    <w:rsid w:val="00FE7A9B"/>
    <w:rsid w:val="00FE7E0D"/>
    <w:rsid w:val="00FF05DE"/>
    <w:rsid w:val="00FF0744"/>
    <w:rsid w:val="00FF1553"/>
    <w:rsid w:val="00FF193E"/>
    <w:rsid w:val="00FF1D01"/>
    <w:rsid w:val="00FF25CB"/>
    <w:rsid w:val="00FF26AD"/>
    <w:rsid w:val="00FF2A90"/>
    <w:rsid w:val="00FF31E7"/>
    <w:rsid w:val="00FF3A5D"/>
    <w:rsid w:val="00FF410C"/>
    <w:rsid w:val="00FF4EA9"/>
    <w:rsid w:val="00FF591F"/>
    <w:rsid w:val="00FF61AC"/>
    <w:rsid w:val="00FF632E"/>
    <w:rsid w:val="00FF6A23"/>
    <w:rsid w:val="00FF6A88"/>
    <w:rsid w:val="00FF6F27"/>
    <w:rsid w:val="00FF7067"/>
    <w:rsid w:val="00FF7807"/>
    <w:rsid w:val="00FF7F7C"/>
    <w:rsid w:val="017B4A76"/>
    <w:rsid w:val="03063C07"/>
    <w:rsid w:val="03404016"/>
    <w:rsid w:val="03F805B0"/>
    <w:rsid w:val="04D54537"/>
    <w:rsid w:val="04ED0560"/>
    <w:rsid w:val="071A7D13"/>
    <w:rsid w:val="07262479"/>
    <w:rsid w:val="072A0A0C"/>
    <w:rsid w:val="079254DA"/>
    <w:rsid w:val="07B10AF5"/>
    <w:rsid w:val="07E34399"/>
    <w:rsid w:val="08751F65"/>
    <w:rsid w:val="08BB73D2"/>
    <w:rsid w:val="08D8605D"/>
    <w:rsid w:val="08FE19DC"/>
    <w:rsid w:val="09057F5A"/>
    <w:rsid w:val="09CC07C6"/>
    <w:rsid w:val="0A2F01BC"/>
    <w:rsid w:val="0A4A1128"/>
    <w:rsid w:val="0AC96DED"/>
    <w:rsid w:val="0BA524F6"/>
    <w:rsid w:val="0BAE3F03"/>
    <w:rsid w:val="0BDB1D34"/>
    <w:rsid w:val="0BF50D1F"/>
    <w:rsid w:val="0C1056CB"/>
    <w:rsid w:val="0CEA5122"/>
    <w:rsid w:val="0E5E108F"/>
    <w:rsid w:val="0EF45FAF"/>
    <w:rsid w:val="0F1B5B63"/>
    <w:rsid w:val="0F624966"/>
    <w:rsid w:val="0FAD706B"/>
    <w:rsid w:val="11BD2408"/>
    <w:rsid w:val="12BC2C0C"/>
    <w:rsid w:val="139224D7"/>
    <w:rsid w:val="13F074A8"/>
    <w:rsid w:val="1439345E"/>
    <w:rsid w:val="151654F9"/>
    <w:rsid w:val="154045AC"/>
    <w:rsid w:val="17C75019"/>
    <w:rsid w:val="1805133F"/>
    <w:rsid w:val="181C7C3D"/>
    <w:rsid w:val="18207C12"/>
    <w:rsid w:val="182E5BE4"/>
    <w:rsid w:val="18980F02"/>
    <w:rsid w:val="195607DB"/>
    <w:rsid w:val="19D31379"/>
    <w:rsid w:val="19EB43DB"/>
    <w:rsid w:val="1C6D2247"/>
    <w:rsid w:val="1D0C715D"/>
    <w:rsid w:val="1D8E26A9"/>
    <w:rsid w:val="1DE907AB"/>
    <w:rsid w:val="1DF36EF3"/>
    <w:rsid w:val="1F0B4A9D"/>
    <w:rsid w:val="1F2A582C"/>
    <w:rsid w:val="1F653079"/>
    <w:rsid w:val="1FD5590E"/>
    <w:rsid w:val="1FFB1C1C"/>
    <w:rsid w:val="20C35B16"/>
    <w:rsid w:val="21080E79"/>
    <w:rsid w:val="216055EB"/>
    <w:rsid w:val="237B0935"/>
    <w:rsid w:val="23DD34E8"/>
    <w:rsid w:val="25507718"/>
    <w:rsid w:val="26FC132E"/>
    <w:rsid w:val="278163F6"/>
    <w:rsid w:val="279E3A83"/>
    <w:rsid w:val="286031B7"/>
    <w:rsid w:val="28E0447D"/>
    <w:rsid w:val="29295147"/>
    <w:rsid w:val="299352A1"/>
    <w:rsid w:val="29977A74"/>
    <w:rsid w:val="29C0068B"/>
    <w:rsid w:val="2AFA0AA9"/>
    <w:rsid w:val="2B992B9B"/>
    <w:rsid w:val="2BCC4267"/>
    <w:rsid w:val="2C2D6A7C"/>
    <w:rsid w:val="2C903037"/>
    <w:rsid w:val="2CC13D5A"/>
    <w:rsid w:val="2CCB1B1E"/>
    <w:rsid w:val="2DB474D9"/>
    <w:rsid w:val="2E0C5F5D"/>
    <w:rsid w:val="2E762D4A"/>
    <w:rsid w:val="2E8A19FF"/>
    <w:rsid w:val="2ED62A1E"/>
    <w:rsid w:val="300B4A63"/>
    <w:rsid w:val="305323C8"/>
    <w:rsid w:val="35456C03"/>
    <w:rsid w:val="35E00A55"/>
    <w:rsid w:val="35E401B6"/>
    <w:rsid w:val="36097ED9"/>
    <w:rsid w:val="36864425"/>
    <w:rsid w:val="372C7E1C"/>
    <w:rsid w:val="38284748"/>
    <w:rsid w:val="396A6911"/>
    <w:rsid w:val="39A70FB3"/>
    <w:rsid w:val="39BF363E"/>
    <w:rsid w:val="3A894969"/>
    <w:rsid w:val="3AED6899"/>
    <w:rsid w:val="3BB5493D"/>
    <w:rsid w:val="3BC4154C"/>
    <w:rsid w:val="3C2764E6"/>
    <w:rsid w:val="3C6A2614"/>
    <w:rsid w:val="3C6F51CB"/>
    <w:rsid w:val="3D571E4C"/>
    <w:rsid w:val="3E3E74C9"/>
    <w:rsid w:val="3EBE6BB6"/>
    <w:rsid w:val="3F14533D"/>
    <w:rsid w:val="41FA534A"/>
    <w:rsid w:val="422B0E33"/>
    <w:rsid w:val="42867099"/>
    <w:rsid w:val="42FD115B"/>
    <w:rsid w:val="432C6AF2"/>
    <w:rsid w:val="44891B58"/>
    <w:rsid w:val="46781944"/>
    <w:rsid w:val="47296D14"/>
    <w:rsid w:val="485F5971"/>
    <w:rsid w:val="487E1185"/>
    <w:rsid w:val="48C452C1"/>
    <w:rsid w:val="48E249A6"/>
    <w:rsid w:val="4AAD169F"/>
    <w:rsid w:val="4ACB3A94"/>
    <w:rsid w:val="4C890796"/>
    <w:rsid w:val="4CA264A6"/>
    <w:rsid w:val="4DCD4D52"/>
    <w:rsid w:val="50923E64"/>
    <w:rsid w:val="52442B06"/>
    <w:rsid w:val="54AB42C1"/>
    <w:rsid w:val="54DC1528"/>
    <w:rsid w:val="55ED2525"/>
    <w:rsid w:val="58550FBC"/>
    <w:rsid w:val="5976584E"/>
    <w:rsid w:val="5AA70350"/>
    <w:rsid w:val="5ABC38F6"/>
    <w:rsid w:val="5B1803C2"/>
    <w:rsid w:val="5B5D173B"/>
    <w:rsid w:val="5BAB5397"/>
    <w:rsid w:val="5CCB58E9"/>
    <w:rsid w:val="5DCB695B"/>
    <w:rsid w:val="5E693DE5"/>
    <w:rsid w:val="5EBE0484"/>
    <w:rsid w:val="5FE473FD"/>
    <w:rsid w:val="60CC4DC5"/>
    <w:rsid w:val="60DC44A7"/>
    <w:rsid w:val="60EA1B97"/>
    <w:rsid w:val="6141434D"/>
    <w:rsid w:val="62FB5994"/>
    <w:rsid w:val="63E279EC"/>
    <w:rsid w:val="63F05A29"/>
    <w:rsid w:val="681E5A86"/>
    <w:rsid w:val="68D10025"/>
    <w:rsid w:val="6A477CD2"/>
    <w:rsid w:val="6A7271ED"/>
    <w:rsid w:val="6AA75ED0"/>
    <w:rsid w:val="6AC566CB"/>
    <w:rsid w:val="6B6B3D77"/>
    <w:rsid w:val="6B701A81"/>
    <w:rsid w:val="6B7A1B8B"/>
    <w:rsid w:val="6BF94CA6"/>
    <w:rsid w:val="6C69489E"/>
    <w:rsid w:val="6D6E3D74"/>
    <w:rsid w:val="6D8E6358"/>
    <w:rsid w:val="6D9C13E9"/>
    <w:rsid w:val="6DEC0E29"/>
    <w:rsid w:val="6E2635B3"/>
    <w:rsid w:val="6E2D5706"/>
    <w:rsid w:val="715E553B"/>
    <w:rsid w:val="718043F5"/>
    <w:rsid w:val="7184092C"/>
    <w:rsid w:val="71D373C3"/>
    <w:rsid w:val="72011C2B"/>
    <w:rsid w:val="736C5049"/>
    <w:rsid w:val="747F2B8B"/>
    <w:rsid w:val="765A56F9"/>
    <w:rsid w:val="77545E9E"/>
    <w:rsid w:val="77E31CE9"/>
    <w:rsid w:val="787046A4"/>
    <w:rsid w:val="78E029CD"/>
    <w:rsid w:val="7A3A0780"/>
    <w:rsid w:val="7AF15D23"/>
    <w:rsid w:val="7BA80188"/>
    <w:rsid w:val="7BD73DDC"/>
    <w:rsid w:val="7C7508CB"/>
    <w:rsid w:val="7C7F6A11"/>
    <w:rsid w:val="7C8A7436"/>
    <w:rsid w:val="7D530093"/>
    <w:rsid w:val="7DD529CE"/>
    <w:rsid w:val="7E62301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99" w:semiHidden="0" w:name="toc 3"/>
    <w:lsdException w:qFormat="1" w:unhideWhenUsed="0" w:uiPriority="99" w:semiHidden="0" w:name="toc 4"/>
    <w:lsdException w:qFormat="1" w:unhideWhenUsed="0" w:uiPriority="99" w:semiHidden="0" w:name="toc 5"/>
    <w:lsdException w:qFormat="1" w:unhideWhenUsed="0" w:uiPriority="99" w:semiHidden="0" w:name="toc 6"/>
    <w:lsdException w:qFormat="1" w:unhideWhenUsed="0" w:uiPriority="99" w:semiHidden="0" w:name="toc 7"/>
    <w:lsdException w:qFormat="1" w:unhideWhenUsed="0" w:uiPriority="99" w:semiHidden="0" w:name="toc 8"/>
    <w:lsdException w:qFormat="1" w:unhideWhenUsed="0" w:uiPriority="99" w:semiHidden="0" w:name="toc 9"/>
    <w:lsdException w:qFormat="1" w:unhideWhenUsed="0" w:uiPriority="99" w:semiHidden="0" w:name="Normal Indent"/>
    <w:lsdException w:qFormat="1" w:uiPriority="99" w:name="footnote text" w:locked="1"/>
    <w:lsdException w:qFormat="1"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qFormat="1" w:uiPriority="99" w:name="footnote reference" w:locked="1"/>
    <w:lsdException w:qFormat="1"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uiPriority="99" w:name="Date" w:locked="1"/>
    <w:lsdException w:uiPriority="99" w:name="Body Text First Indent" w:locked="1"/>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qFormat="1" w:unhideWhenUsed="0" w:uiPriority="99" w:semiHidden="0" w:name="Block Text"/>
    <w:lsdException w:qFormat="1" w:unhideWhenUsed="0" w:uiPriority="99" w:semiHidden="0" w:name="Hyperlink"/>
    <w:lsdException w:qFormat="1" w:unhideWhenUsed="0" w:uiPriority="99"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3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等线" w:hAnsi="等线" w:eastAsia="宋体" w:cs="Times New Roman"/>
      <w:kern w:val="2"/>
      <w:sz w:val="21"/>
      <w:szCs w:val="22"/>
      <w:lang w:val="en-US" w:eastAsia="zh-CN" w:bidi="ar-SA"/>
    </w:rPr>
  </w:style>
  <w:style w:type="paragraph" w:styleId="3">
    <w:name w:val="heading 1"/>
    <w:basedOn w:val="1"/>
    <w:next w:val="1"/>
    <w:link w:val="38"/>
    <w:qFormat/>
    <w:uiPriority w:val="99"/>
    <w:pPr>
      <w:keepNext/>
      <w:keepLines/>
      <w:spacing w:before="340" w:after="330" w:line="578" w:lineRule="auto"/>
      <w:outlineLvl w:val="0"/>
    </w:pPr>
    <w:rPr>
      <w:rFonts w:ascii="Times New Roman" w:hAnsi="Times New Roman"/>
      <w:b/>
      <w:bCs/>
      <w:kern w:val="44"/>
      <w:sz w:val="44"/>
      <w:szCs w:val="44"/>
    </w:rPr>
  </w:style>
  <w:style w:type="paragraph" w:styleId="4">
    <w:name w:val="heading 2"/>
    <w:basedOn w:val="1"/>
    <w:next w:val="1"/>
    <w:link w:val="39"/>
    <w:qFormat/>
    <w:uiPriority w:val="99"/>
    <w:pPr>
      <w:adjustRightInd w:val="0"/>
      <w:snapToGrid w:val="0"/>
      <w:spacing w:line="360" w:lineRule="auto"/>
      <w:ind w:firstLine="560" w:firstLineChars="200"/>
      <w:outlineLvl w:val="1"/>
    </w:pPr>
    <w:rPr>
      <w:rFonts w:ascii="宋体" w:hAnsi="宋体" w:eastAsia="黑体"/>
      <w:bCs/>
      <w:kern w:val="0"/>
      <w:sz w:val="30"/>
      <w:szCs w:val="28"/>
    </w:rPr>
  </w:style>
  <w:style w:type="paragraph" w:styleId="5">
    <w:name w:val="heading 3"/>
    <w:basedOn w:val="1"/>
    <w:next w:val="1"/>
    <w:link w:val="40"/>
    <w:autoRedefine/>
    <w:qFormat/>
    <w:uiPriority w:val="99"/>
    <w:pPr>
      <w:keepNext/>
      <w:keepLines/>
      <w:spacing w:before="260" w:after="260" w:line="416" w:lineRule="auto"/>
      <w:outlineLvl w:val="2"/>
    </w:pPr>
    <w:rPr>
      <w:rFonts w:ascii="Times New Roman" w:hAnsi="Times New Roman"/>
      <w:b/>
      <w:bCs/>
      <w:kern w:val="0"/>
      <w:sz w:val="32"/>
      <w:szCs w:val="32"/>
    </w:rPr>
  </w:style>
  <w:style w:type="paragraph" w:styleId="6">
    <w:name w:val="heading 4"/>
    <w:basedOn w:val="1"/>
    <w:next w:val="1"/>
    <w:link w:val="41"/>
    <w:autoRedefine/>
    <w:qFormat/>
    <w:uiPriority w:val="99"/>
    <w:pPr>
      <w:keepNext/>
      <w:keepLines/>
      <w:spacing w:before="280" w:after="290" w:line="376" w:lineRule="auto"/>
      <w:outlineLvl w:val="3"/>
    </w:pPr>
    <w:rPr>
      <w:rFonts w:ascii="等线 Light" w:hAnsi="等线 Light" w:eastAsia="等线 Light"/>
      <w:b/>
      <w:bCs/>
      <w:kern w:val="0"/>
      <w:sz w:val="28"/>
      <w:szCs w:val="28"/>
    </w:rPr>
  </w:style>
  <w:style w:type="character" w:default="1" w:styleId="31">
    <w:name w:val="Default Paragraph Font"/>
    <w:autoRedefine/>
    <w:semiHidden/>
    <w:unhideWhenUsed/>
    <w:qFormat/>
    <w:uiPriority w:val="1"/>
  </w:style>
  <w:style w:type="table" w:default="1" w:styleId="29">
    <w:name w:val="Normal Table"/>
    <w:autoRedefine/>
    <w:semiHidden/>
    <w:unhideWhenUsed/>
    <w:qFormat/>
    <w:uiPriority w:val="99"/>
    <w:tblPr>
      <w:tblCellMar>
        <w:top w:w="0" w:type="dxa"/>
        <w:left w:w="108" w:type="dxa"/>
        <w:bottom w:w="0" w:type="dxa"/>
        <w:right w:w="108" w:type="dxa"/>
      </w:tblCellMar>
    </w:tblPr>
  </w:style>
  <w:style w:type="paragraph" w:customStyle="1" w:styleId="2">
    <w:name w:val="BodyText"/>
    <w:basedOn w:val="1"/>
    <w:autoRedefine/>
    <w:qFormat/>
    <w:uiPriority w:val="0"/>
    <w:pPr>
      <w:textAlignment w:val="baseline"/>
    </w:pPr>
    <w:rPr>
      <w:rFonts w:ascii="Times New Roman" w:hAnsi="Times New Roman" w:eastAsia="仿宋_GB2312"/>
      <w:sz w:val="32"/>
    </w:rPr>
  </w:style>
  <w:style w:type="paragraph" w:styleId="7">
    <w:name w:val="toc 7"/>
    <w:basedOn w:val="1"/>
    <w:next w:val="1"/>
    <w:autoRedefine/>
    <w:qFormat/>
    <w:uiPriority w:val="99"/>
    <w:pPr>
      <w:ind w:left="1260"/>
    </w:pPr>
    <w:rPr>
      <w:rFonts w:eastAsia="等线"/>
      <w:sz w:val="18"/>
      <w:szCs w:val="18"/>
    </w:rPr>
  </w:style>
  <w:style w:type="paragraph" w:styleId="8">
    <w:name w:val="Normal Indent"/>
    <w:basedOn w:val="1"/>
    <w:autoRedefine/>
    <w:qFormat/>
    <w:uiPriority w:val="99"/>
    <w:pPr>
      <w:ind w:firstLine="420" w:firstLineChars="200"/>
    </w:pPr>
    <w:rPr>
      <w:rFonts w:cs="黑体"/>
    </w:rPr>
  </w:style>
  <w:style w:type="paragraph" w:styleId="9">
    <w:name w:val="Document Map"/>
    <w:basedOn w:val="1"/>
    <w:link w:val="42"/>
    <w:autoRedefine/>
    <w:semiHidden/>
    <w:qFormat/>
    <w:uiPriority w:val="99"/>
    <w:rPr>
      <w:rFonts w:ascii="宋体" w:hAnsi="Times New Roman"/>
      <w:kern w:val="0"/>
      <w:sz w:val="18"/>
      <w:szCs w:val="18"/>
    </w:rPr>
  </w:style>
  <w:style w:type="paragraph" w:styleId="10">
    <w:name w:val="annotation text"/>
    <w:basedOn w:val="1"/>
    <w:link w:val="120"/>
    <w:autoRedefine/>
    <w:semiHidden/>
    <w:unhideWhenUsed/>
    <w:qFormat/>
    <w:locked/>
    <w:uiPriority w:val="99"/>
  </w:style>
  <w:style w:type="paragraph" w:styleId="11">
    <w:name w:val="Body Text"/>
    <w:basedOn w:val="1"/>
    <w:next w:val="1"/>
    <w:link w:val="43"/>
    <w:autoRedefine/>
    <w:qFormat/>
    <w:uiPriority w:val="99"/>
    <w:pPr>
      <w:spacing w:after="120"/>
    </w:pPr>
  </w:style>
  <w:style w:type="paragraph" w:styleId="12">
    <w:name w:val="Block Text"/>
    <w:basedOn w:val="1"/>
    <w:next w:val="1"/>
    <w:autoRedefine/>
    <w:qFormat/>
    <w:uiPriority w:val="99"/>
  </w:style>
  <w:style w:type="paragraph" w:styleId="13">
    <w:name w:val="toc 5"/>
    <w:basedOn w:val="1"/>
    <w:next w:val="1"/>
    <w:autoRedefine/>
    <w:qFormat/>
    <w:uiPriority w:val="99"/>
    <w:pPr>
      <w:ind w:left="840"/>
    </w:pPr>
    <w:rPr>
      <w:rFonts w:eastAsia="等线"/>
      <w:sz w:val="18"/>
      <w:szCs w:val="18"/>
    </w:rPr>
  </w:style>
  <w:style w:type="paragraph" w:styleId="14">
    <w:name w:val="toc 3"/>
    <w:basedOn w:val="1"/>
    <w:next w:val="1"/>
    <w:autoRedefine/>
    <w:qFormat/>
    <w:uiPriority w:val="99"/>
    <w:pPr>
      <w:ind w:left="420"/>
    </w:pPr>
    <w:rPr>
      <w:rFonts w:eastAsia="等线"/>
      <w:i/>
      <w:iCs/>
      <w:sz w:val="20"/>
      <w:szCs w:val="20"/>
    </w:rPr>
  </w:style>
  <w:style w:type="paragraph" w:styleId="15">
    <w:name w:val="Plain Text"/>
    <w:basedOn w:val="1"/>
    <w:link w:val="44"/>
    <w:autoRedefine/>
    <w:qFormat/>
    <w:uiPriority w:val="99"/>
    <w:pPr>
      <w:adjustRightInd w:val="0"/>
      <w:snapToGrid w:val="0"/>
      <w:spacing w:line="360" w:lineRule="auto"/>
      <w:ind w:firstLine="560" w:firstLineChars="200"/>
    </w:pPr>
    <w:rPr>
      <w:rFonts w:ascii="仿宋_GB2312" w:hAnsi="Courier New" w:eastAsia="仿宋_GB2312"/>
      <w:kern w:val="0"/>
      <w:sz w:val="20"/>
      <w:szCs w:val="24"/>
    </w:rPr>
  </w:style>
  <w:style w:type="paragraph" w:styleId="16">
    <w:name w:val="toc 8"/>
    <w:basedOn w:val="1"/>
    <w:next w:val="1"/>
    <w:autoRedefine/>
    <w:qFormat/>
    <w:uiPriority w:val="99"/>
    <w:pPr>
      <w:ind w:left="1470"/>
    </w:pPr>
    <w:rPr>
      <w:rFonts w:eastAsia="等线"/>
      <w:sz w:val="18"/>
      <w:szCs w:val="18"/>
    </w:rPr>
  </w:style>
  <w:style w:type="paragraph" w:styleId="17">
    <w:name w:val="Balloon Text"/>
    <w:basedOn w:val="1"/>
    <w:link w:val="45"/>
    <w:autoRedefine/>
    <w:semiHidden/>
    <w:qFormat/>
    <w:uiPriority w:val="99"/>
    <w:rPr>
      <w:rFonts w:ascii="Times New Roman" w:hAnsi="Times New Roman"/>
      <w:kern w:val="0"/>
      <w:sz w:val="18"/>
      <w:szCs w:val="18"/>
    </w:rPr>
  </w:style>
  <w:style w:type="paragraph" w:styleId="18">
    <w:name w:val="footer"/>
    <w:basedOn w:val="1"/>
    <w:link w:val="46"/>
    <w:autoRedefine/>
    <w:qFormat/>
    <w:uiPriority w:val="99"/>
    <w:pPr>
      <w:tabs>
        <w:tab w:val="center" w:pos="4153"/>
        <w:tab w:val="right" w:pos="8306"/>
      </w:tabs>
      <w:snapToGrid w:val="0"/>
    </w:pPr>
    <w:rPr>
      <w:rFonts w:ascii="Times New Roman" w:hAnsi="Times New Roman"/>
      <w:kern w:val="0"/>
      <w:sz w:val="18"/>
      <w:szCs w:val="18"/>
    </w:rPr>
  </w:style>
  <w:style w:type="paragraph" w:styleId="19">
    <w:name w:val="header"/>
    <w:basedOn w:val="1"/>
    <w:link w:val="47"/>
    <w:autoRedefine/>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20">
    <w:name w:val="toc 1"/>
    <w:basedOn w:val="1"/>
    <w:next w:val="1"/>
    <w:autoRedefine/>
    <w:qFormat/>
    <w:uiPriority w:val="39"/>
    <w:pPr>
      <w:tabs>
        <w:tab w:val="left" w:pos="1260"/>
        <w:tab w:val="right" w:leader="dot" w:pos="8835"/>
      </w:tabs>
      <w:adjustRightInd w:val="0"/>
      <w:snapToGrid w:val="0"/>
      <w:spacing w:line="360" w:lineRule="auto"/>
    </w:pPr>
    <w:rPr>
      <w:rFonts w:ascii="宋体" w:hAnsi="宋体"/>
      <w:b/>
      <w:bCs/>
      <w:iCs/>
      <w:caps/>
      <w:sz w:val="28"/>
      <w:szCs w:val="20"/>
    </w:rPr>
  </w:style>
  <w:style w:type="paragraph" w:styleId="21">
    <w:name w:val="toc 4"/>
    <w:basedOn w:val="1"/>
    <w:next w:val="1"/>
    <w:autoRedefine/>
    <w:qFormat/>
    <w:uiPriority w:val="99"/>
    <w:pPr>
      <w:ind w:left="630"/>
    </w:pPr>
    <w:rPr>
      <w:rFonts w:eastAsia="等线"/>
      <w:sz w:val="18"/>
      <w:szCs w:val="18"/>
    </w:rPr>
  </w:style>
  <w:style w:type="paragraph" w:styleId="22">
    <w:name w:val="footnote text"/>
    <w:basedOn w:val="1"/>
    <w:link w:val="119"/>
    <w:autoRedefine/>
    <w:semiHidden/>
    <w:unhideWhenUsed/>
    <w:qFormat/>
    <w:locked/>
    <w:uiPriority w:val="99"/>
    <w:pPr>
      <w:snapToGrid w:val="0"/>
    </w:pPr>
    <w:rPr>
      <w:sz w:val="18"/>
      <w:szCs w:val="18"/>
    </w:rPr>
  </w:style>
  <w:style w:type="paragraph" w:styleId="23">
    <w:name w:val="toc 6"/>
    <w:basedOn w:val="1"/>
    <w:next w:val="1"/>
    <w:autoRedefine/>
    <w:qFormat/>
    <w:uiPriority w:val="99"/>
    <w:pPr>
      <w:ind w:left="1050"/>
    </w:pPr>
    <w:rPr>
      <w:rFonts w:eastAsia="等线"/>
      <w:sz w:val="18"/>
      <w:szCs w:val="18"/>
    </w:rPr>
  </w:style>
  <w:style w:type="paragraph" w:styleId="24">
    <w:name w:val="toc 2"/>
    <w:basedOn w:val="1"/>
    <w:next w:val="1"/>
    <w:autoRedefine/>
    <w:qFormat/>
    <w:uiPriority w:val="39"/>
    <w:pPr>
      <w:adjustRightInd w:val="0"/>
      <w:snapToGrid w:val="0"/>
      <w:spacing w:line="360" w:lineRule="auto"/>
      <w:ind w:left="200" w:leftChars="200"/>
    </w:pPr>
    <w:rPr>
      <w:rFonts w:eastAsia="仿宋_GB2312"/>
      <w:smallCaps/>
      <w:sz w:val="28"/>
      <w:szCs w:val="20"/>
    </w:rPr>
  </w:style>
  <w:style w:type="paragraph" w:styleId="25">
    <w:name w:val="toc 9"/>
    <w:basedOn w:val="1"/>
    <w:next w:val="1"/>
    <w:autoRedefine/>
    <w:qFormat/>
    <w:uiPriority w:val="99"/>
    <w:pPr>
      <w:ind w:left="1680"/>
    </w:pPr>
    <w:rPr>
      <w:rFonts w:eastAsia="等线"/>
      <w:sz w:val="18"/>
      <w:szCs w:val="18"/>
    </w:rPr>
  </w:style>
  <w:style w:type="paragraph" w:styleId="26">
    <w:name w:val="Normal (Web)"/>
    <w:basedOn w:val="1"/>
    <w:autoRedefine/>
    <w:qFormat/>
    <w:uiPriority w:val="99"/>
    <w:pPr>
      <w:spacing w:beforeAutospacing="1" w:afterAutospacing="1"/>
    </w:pPr>
    <w:rPr>
      <w:kern w:val="0"/>
      <w:sz w:val="24"/>
    </w:rPr>
  </w:style>
  <w:style w:type="paragraph" w:styleId="27">
    <w:name w:val="Title"/>
    <w:basedOn w:val="1"/>
    <w:next w:val="1"/>
    <w:link w:val="48"/>
    <w:autoRedefine/>
    <w:qFormat/>
    <w:uiPriority w:val="99"/>
    <w:pPr>
      <w:spacing w:before="240" w:after="60"/>
      <w:jc w:val="center"/>
      <w:outlineLvl w:val="0"/>
    </w:pPr>
    <w:rPr>
      <w:rFonts w:ascii="等线 Light" w:hAnsi="等线 Light" w:eastAsia="等线 Light"/>
      <w:b/>
      <w:bCs/>
      <w:sz w:val="32"/>
      <w:szCs w:val="32"/>
    </w:rPr>
  </w:style>
  <w:style w:type="paragraph" w:styleId="28">
    <w:name w:val="annotation subject"/>
    <w:basedOn w:val="10"/>
    <w:next w:val="10"/>
    <w:link w:val="121"/>
    <w:autoRedefine/>
    <w:semiHidden/>
    <w:unhideWhenUsed/>
    <w:qFormat/>
    <w:locked/>
    <w:uiPriority w:val="99"/>
    <w:rPr>
      <w:b/>
      <w:bCs/>
    </w:rPr>
  </w:style>
  <w:style w:type="table" w:styleId="30">
    <w:name w:val="Table Grid"/>
    <w:basedOn w:val="29"/>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autoRedefine/>
    <w:qFormat/>
    <w:uiPriority w:val="99"/>
    <w:rPr>
      <w:rFonts w:cs="Times New Roman"/>
      <w:b/>
    </w:rPr>
  </w:style>
  <w:style w:type="character" w:styleId="33">
    <w:name w:val="FollowedHyperlink"/>
    <w:autoRedefine/>
    <w:semiHidden/>
    <w:qFormat/>
    <w:uiPriority w:val="99"/>
    <w:rPr>
      <w:rFonts w:cs="Times New Roman"/>
      <w:color w:val="800080"/>
      <w:u w:val="single"/>
    </w:rPr>
  </w:style>
  <w:style w:type="character" w:styleId="34">
    <w:name w:val="Emphasis"/>
    <w:autoRedefine/>
    <w:qFormat/>
    <w:uiPriority w:val="99"/>
    <w:rPr>
      <w:rFonts w:cs="Times New Roman"/>
      <w:i/>
    </w:rPr>
  </w:style>
  <w:style w:type="character" w:styleId="35">
    <w:name w:val="Hyperlink"/>
    <w:autoRedefine/>
    <w:qFormat/>
    <w:uiPriority w:val="99"/>
    <w:rPr>
      <w:rFonts w:cs="Times New Roman"/>
      <w:color w:val="0563C1"/>
      <w:u w:val="single"/>
    </w:rPr>
  </w:style>
  <w:style w:type="character" w:styleId="36">
    <w:name w:val="annotation reference"/>
    <w:basedOn w:val="31"/>
    <w:autoRedefine/>
    <w:semiHidden/>
    <w:unhideWhenUsed/>
    <w:qFormat/>
    <w:locked/>
    <w:uiPriority w:val="99"/>
    <w:rPr>
      <w:sz w:val="21"/>
      <w:szCs w:val="21"/>
    </w:rPr>
  </w:style>
  <w:style w:type="character" w:styleId="37">
    <w:name w:val="footnote reference"/>
    <w:basedOn w:val="31"/>
    <w:autoRedefine/>
    <w:semiHidden/>
    <w:unhideWhenUsed/>
    <w:qFormat/>
    <w:locked/>
    <w:uiPriority w:val="99"/>
    <w:rPr>
      <w:vertAlign w:val="superscript"/>
    </w:rPr>
  </w:style>
  <w:style w:type="character" w:customStyle="1" w:styleId="38">
    <w:name w:val="标题 1 字符"/>
    <w:link w:val="3"/>
    <w:autoRedefine/>
    <w:qFormat/>
    <w:locked/>
    <w:uiPriority w:val="99"/>
    <w:rPr>
      <w:rFonts w:cs="Times New Roman"/>
      <w:b/>
      <w:kern w:val="44"/>
      <w:sz w:val="44"/>
    </w:rPr>
  </w:style>
  <w:style w:type="character" w:customStyle="1" w:styleId="39">
    <w:name w:val="标题 2 字符"/>
    <w:link w:val="4"/>
    <w:autoRedefine/>
    <w:qFormat/>
    <w:locked/>
    <w:uiPriority w:val="99"/>
    <w:rPr>
      <w:rFonts w:ascii="宋体" w:hAnsi="宋体" w:eastAsia="黑体" w:cs="Times New Roman"/>
      <w:kern w:val="0"/>
      <w:sz w:val="28"/>
    </w:rPr>
  </w:style>
  <w:style w:type="character" w:customStyle="1" w:styleId="40">
    <w:name w:val="标题 3 字符"/>
    <w:link w:val="5"/>
    <w:autoRedefine/>
    <w:qFormat/>
    <w:locked/>
    <w:uiPriority w:val="99"/>
    <w:rPr>
      <w:rFonts w:cs="Times New Roman"/>
      <w:b/>
      <w:sz w:val="32"/>
    </w:rPr>
  </w:style>
  <w:style w:type="character" w:customStyle="1" w:styleId="41">
    <w:name w:val="标题 4 字符"/>
    <w:link w:val="6"/>
    <w:autoRedefine/>
    <w:qFormat/>
    <w:locked/>
    <w:uiPriority w:val="99"/>
    <w:rPr>
      <w:rFonts w:ascii="等线 Light" w:hAnsi="等线 Light" w:eastAsia="等线 Light" w:cs="Times New Roman"/>
      <w:b/>
      <w:sz w:val="28"/>
    </w:rPr>
  </w:style>
  <w:style w:type="character" w:customStyle="1" w:styleId="42">
    <w:name w:val="文档结构图 字符"/>
    <w:link w:val="9"/>
    <w:autoRedefine/>
    <w:semiHidden/>
    <w:qFormat/>
    <w:locked/>
    <w:uiPriority w:val="99"/>
    <w:rPr>
      <w:rFonts w:ascii="宋体" w:eastAsia="宋体" w:cs="Times New Roman"/>
      <w:sz w:val="18"/>
    </w:rPr>
  </w:style>
  <w:style w:type="character" w:customStyle="1" w:styleId="43">
    <w:name w:val="正文文本 字符"/>
    <w:link w:val="11"/>
    <w:autoRedefine/>
    <w:qFormat/>
    <w:locked/>
    <w:uiPriority w:val="99"/>
    <w:rPr>
      <w:rFonts w:cs="Times New Roman"/>
    </w:rPr>
  </w:style>
  <w:style w:type="character" w:customStyle="1" w:styleId="44">
    <w:name w:val="纯文本 字符"/>
    <w:link w:val="15"/>
    <w:autoRedefine/>
    <w:qFormat/>
    <w:locked/>
    <w:uiPriority w:val="99"/>
    <w:rPr>
      <w:rFonts w:ascii="仿宋_GB2312" w:hAnsi="Courier New" w:eastAsia="仿宋_GB2312" w:cs="Times New Roman"/>
      <w:sz w:val="24"/>
    </w:rPr>
  </w:style>
  <w:style w:type="character" w:customStyle="1" w:styleId="45">
    <w:name w:val="批注框文本 字符"/>
    <w:link w:val="17"/>
    <w:autoRedefine/>
    <w:semiHidden/>
    <w:qFormat/>
    <w:locked/>
    <w:uiPriority w:val="99"/>
    <w:rPr>
      <w:rFonts w:cs="Times New Roman"/>
      <w:sz w:val="18"/>
    </w:rPr>
  </w:style>
  <w:style w:type="character" w:customStyle="1" w:styleId="46">
    <w:name w:val="页脚 字符"/>
    <w:link w:val="18"/>
    <w:autoRedefine/>
    <w:qFormat/>
    <w:locked/>
    <w:uiPriority w:val="99"/>
    <w:rPr>
      <w:rFonts w:cs="Times New Roman"/>
      <w:sz w:val="18"/>
    </w:rPr>
  </w:style>
  <w:style w:type="character" w:customStyle="1" w:styleId="47">
    <w:name w:val="页眉 字符"/>
    <w:link w:val="19"/>
    <w:autoRedefine/>
    <w:qFormat/>
    <w:locked/>
    <w:uiPriority w:val="99"/>
    <w:rPr>
      <w:rFonts w:cs="Times New Roman"/>
      <w:sz w:val="18"/>
    </w:rPr>
  </w:style>
  <w:style w:type="character" w:customStyle="1" w:styleId="48">
    <w:name w:val="标题 字符"/>
    <w:link w:val="27"/>
    <w:autoRedefine/>
    <w:qFormat/>
    <w:locked/>
    <w:uiPriority w:val="99"/>
    <w:rPr>
      <w:rFonts w:ascii="等线 Light" w:hAnsi="等线 Light" w:eastAsia="等线 Light" w:cs="Times New Roman"/>
      <w:b/>
      <w:bCs/>
      <w:kern w:val="2"/>
      <w:sz w:val="32"/>
      <w:szCs w:val="32"/>
    </w:rPr>
  </w:style>
  <w:style w:type="paragraph" w:styleId="49">
    <w:name w:val="List Paragraph"/>
    <w:basedOn w:val="1"/>
    <w:autoRedefine/>
    <w:qFormat/>
    <w:uiPriority w:val="99"/>
    <w:pPr>
      <w:ind w:firstLine="420" w:firstLineChars="200"/>
    </w:pPr>
  </w:style>
  <w:style w:type="paragraph" w:customStyle="1" w:styleId="50">
    <w:name w:val="Default"/>
    <w:autoRedefine/>
    <w:qFormat/>
    <w:uiPriority w:val="0"/>
    <w:pPr>
      <w:widowControl w:val="0"/>
      <w:autoSpaceDE w:val="0"/>
      <w:autoSpaceDN w:val="0"/>
      <w:adjustRightInd w:val="0"/>
    </w:pPr>
    <w:rPr>
      <w:rFonts w:ascii="宋体" w:hAnsi="等线" w:eastAsia="宋体" w:cs="宋体"/>
      <w:color w:val="000000"/>
      <w:sz w:val="24"/>
      <w:szCs w:val="24"/>
      <w:lang w:val="en-US" w:eastAsia="zh-CN" w:bidi="ar-SA"/>
    </w:rPr>
  </w:style>
  <w:style w:type="character" w:customStyle="1" w:styleId="51">
    <w:name w:val="纯文本 字符1"/>
    <w:autoRedefine/>
    <w:semiHidden/>
    <w:qFormat/>
    <w:uiPriority w:val="99"/>
    <w:rPr>
      <w:rFonts w:ascii="等线" w:hAnsi="Courier New"/>
    </w:rPr>
  </w:style>
  <w:style w:type="paragraph" w:customStyle="1" w:styleId="52">
    <w:name w:val="TOC 标题1"/>
    <w:basedOn w:val="3"/>
    <w:next w:val="1"/>
    <w:autoRedefine/>
    <w:qFormat/>
    <w:uiPriority w:val="99"/>
    <w:pPr>
      <w:spacing w:before="240" w:after="0" w:line="259" w:lineRule="auto"/>
      <w:outlineLvl w:val="9"/>
    </w:pPr>
    <w:rPr>
      <w:rFonts w:ascii="等线 Light" w:hAnsi="等线 Light" w:eastAsia="等线 Light"/>
      <w:b w:val="0"/>
      <w:bCs w:val="0"/>
      <w:color w:val="2E74B5"/>
      <w:kern w:val="0"/>
      <w:sz w:val="32"/>
      <w:szCs w:val="32"/>
    </w:rPr>
  </w:style>
  <w:style w:type="paragraph" w:customStyle="1" w:styleId="53">
    <w:name w:val="Char Char"/>
    <w:basedOn w:val="1"/>
    <w:autoRedefine/>
    <w:qFormat/>
    <w:uiPriority w:val="99"/>
    <w:pPr>
      <w:spacing w:after="160" w:line="240" w:lineRule="exact"/>
    </w:pPr>
    <w:rPr>
      <w:rFonts w:ascii="Times New Roman" w:hAnsi="Times New Roman"/>
      <w:szCs w:val="24"/>
    </w:rPr>
  </w:style>
  <w:style w:type="table" w:customStyle="1" w:styleId="54">
    <w:name w:val="网格型2"/>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5">
    <w:name w:val="网格型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6">
    <w:name w:val="msonormal"/>
    <w:basedOn w:val="1"/>
    <w:autoRedefine/>
    <w:qFormat/>
    <w:uiPriority w:val="0"/>
    <w:pPr>
      <w:spacing w:before="100" w:beforeAutospacing="1" w:after="100" w:afterAutospacing="1"/>
    </w:pPr>
    <w:rPr>
      <w:rFonts w:ascii="宋体" w:hAnsi="宋体" w:cs="宋体"/>
      <w:kern w:val="0"/>
      <w:sz w:val="24"/>
      <w:szCs w:val="24"/>
    </w:rPr>
  </w:style>
  <w:style w:type="paragraph" w:customStyle="1" w:styleId="57">
    <w:name w:val="font5"/>
    <w:basedOn w:val="1"/>
    <w:autoRedefine/>
    <w:qFormat/>
    <w:uiPriority w:val="0"/>
    <w:pPr>
      <w:spacing w:before="100" w:beforeAutospacing="1" w:after="100" w:afterAutospacing="1"/>
    </w:pPr>
    <w:rPr>
      <w:rFonts w:ascii="仿宋" w:hAnsi="仿宋" w:eastAsia="仿宋" w:cs="宋体"/>
      <w:kern w:val="0"/>
      <w:sz w:val="20"/>
      <w:szCs w:val="20"/>
    </w:rPr>
  </w:style>
  <w:style w:type="paragraph" w:customStyle="1" w:styleId="58">
    <w:name w:val="font6"/>
    <w:basedOn w:val="1"/>
    <w:autoRedefine/>
    <w:qFormat/>
    <w:uiPriority w:val="0"/>
    <w:pPr>
      <w:spacing w:before="100" w:beforeAutospacing="1" w:after="100" w:afterAutospacing="1"/>
    </w:pPr>
    <w:rPr>
      <w:rFonts w:ascii="宋体" w:hAnsi="宋体" w:cs="宋体"/>
      <w:kern w:val="0"/>
      <w:sz w:val="18"/>
      <w:szCs w:val="18"/>
    </w:rPr>
  </w:style>
  <w:style w:type="paragraph" w:customStyle="1" w:styleId="59">
    <w:name w:val="font7"/>
    <w:basedOn w:val="1"/>
    <w:autoRedefine/>
    <w:qFormat/>
    <w:uiPriority w:val="99"/>
    <w:pPr>
      <w:spacing w:before="100" w:beforeAutospacing="1" w:after="100" w:afterAutospacing="1"/>
    </w:pPr>
    <w:rPr>
      <w:rFonts w:ascii="仿宋" w:hAnsi="仿宋" w:eastAsia="仿宋" w:cs="宋体"/>
      <w:kern w:val="0"/>
      <w:sz w:val="20"/>
      <w:szCs w:val="20"/>
    </w:rPr>
  </w:style>
  <w:style w:type="paragraph" w:customStyle="1" w:styleId="60">
    <w:name w:val="xl68"/>
    <w:basedOn w:val="1"/>
    <w:autoRedefine/>
    <w:qFormat/>
    <w:uiPriority w:val="99"/>
    <w:pPr>
      <w:spacing w:before="100" w:beforeAutospacing="1" w:after="100" w:afterAutospacing="1"/>
    </w:pPr>
    <w:rPr>
      <w:rFonts w:ascii="宋体" w:hAnsi="宋体" w:cs="宋体"/>
      <w:kern w:val="0"/>
      <w:sz w:val="24"/>
      <w:szCs w:val="24"/>
    </w:rPr>
  </w:style>
  <w:style w:type="paragraph" w:customStyle="1" w:styleId="61">
    <w:name w:val="xl69"/>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2">
    <w:name w:val="xl70"/>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3">
    <w:name w:val="xl71"/>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4">
    <w:name w:val="xl72"/>
    <w:basedOn w:val="1"/>
    <w:autoRedefine/>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5">
    <w:name w:val="xl7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6">
    <w:name w:val="xl7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7">
    <w:name w:val="xl7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68">
    <w:name w:val="xl7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69">
    <w:name w:val="xl7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0">
    <w:name w:val="xl7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1">
    <w:name w:val="xl7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0"/>
      <w:szCs w:val="20"/>
    </w:rPr>
  </w:style>
  <w:style w:type="paragraph" w:customStyle="1" w:styleId="72">
    <w:name w:val="xl8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4"/>
      <w:szCs w:val="24"/>
    </w:rPr>
  </w:style>
  <w:style w:type="paragraph" w:customStyle="1" w:styleId="73">
    <w:name w:val="xl8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黑体" w:eastAsia="黑体" w:cs="宋体"/>
      <w:kern w:val="0"/>
      <w:sz w:val="24"/>
      <w:szCs w:val="24"/>
    </w:rPr>
  </w:style>
  <w:style w:type="paragraph" w:customStyle="1" w:styleId="74">
    <w:name w:val="xl82"/>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 w:hAnsi="仿宋" w:eastAsia="仿宋" w:cs="宋体"/>
      <w:kern w:val="0"/>
      <w:sz w:val="20"/>
      <w:szCs w:val="20"/>
    </w:rPr>
  </w:style>
  <w:style w:type="paragraph" w:customStyle="1" w:styleId="75">
    <w:name w:val="xl83"/>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b/>
      <w:bCs/>
      <w:kern w:val="0"/>
      <w:sz w:val="20"/>
      <w:szCs w:val="20"/>
    </w:rPr>
  </w:style>
  <w:style w:type="paragraph" w:customStyle="1" w:styleId="76">
    <w:name w:val="xl8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7">
    <w:name w:val="xl85"/>
    <w:basedOn w:val="1"/>
    <w:autoRedefine/>
    <w:qFormat/>
    <w:uiPriority w:val="0"/>
    <w:pPr>
      <w:spacing w:before="100" w:beforeAutospacing="1" w:after="100" w:afterAutospacing="1"/>
      <w:ind w:firstLine="200" w:firstLineChars="200"/>
      <w:jc w:val="both"/>
    </w:pPr>
    <w:rPr>
      <w:rFonts w:ascii="仿宋" w:hAnsi="仿宋" w:eastAsia="仿宋" w:cs="宋体"/>
      <w:kern w:val="0"/>
      <w:sz w:val="20"/>
      <w:szCs w:val="20"/>
    </w:rPr>
  </w:style>
  <w:style w:type="paragraph" w:customStyle="1" w:styleId="78">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79">
    <w:name w:val="xl87"/>
    <w:basedOn w:val="1"/>
    <w:autoRedefine/>
    <w:qFormat/>
    <w:uiPriority w:val="0"/>
    <w:pPr>
      <w:spacing w:before="100" w:beforeAutospacing="1" w:after="100" w:afterAutospacing="1"/>
      <w:jc w:val="both"/>
    </w:pPr>
    <w:rPr>
      <w:rFonts w:ascii="仿宋" w:hAnsi="仿宋" w:eastAsia="仿宋" w:cs="宋体"/>
      <w:kern w:val="0"/>
      <w:sz w:val="20"/>
      <w:szCs w:val="20"/>
    </w:rPr>
  </w:style>
  <w:style w:type="paragraph" w:customStyle="1" w:styleId="80">
    <w:name w:val="xl88"/>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1">
    <w:name w:val="xl89"/>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ascii="仿宋" w:hAnsi="仿宋" w:eastAsia="仿宋" w:cs="宋体"/>
      <w:kern w:val="0"/>
      <w:sz w:val="20"/>
      <w:szCs w:val="20"/>
    </w:rPr>
  </w:style>
  <w:style w:type="paragraph" w:customStyle="1" w:styleId="82">
    <w:name w:val="xl90"/>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eastAsia="仿宋" w:cs="宋体"/>
      <w:kern w:val="0"/>
      <w:sz w:val="20"/>
      <w:szCs w:val="20"/>
    </w:rPr>
  </w:style>
  <w:style w:type="paragraph" w:customStyle="1" w:styleId="83">
    <w:name w:val="xl91"/>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黑体" w:hAnsi="黑体" w:eastAsia="黑体" w:cs="宋体"/>
      <w:kern w:val="0"/>
      <w:sz w:val="20"/>
      <w:szCs w:val="20"/>
    </w:rPr>
  </w:style>
  <w:style w:type="paragraph" w:customStyle="1" w:styleId="84">
    <w:name w:val="font8"/>
    <w:basedOn w:val="1"/>
    <w:autoRedefine/>
    <w:qFormat/>
    <w:uiPriority w:val="99"/>
    <w:pPr>
      <w:spacing w:before="100" w:beforeAutospacing="1" w:after="100" w:afterAutospacing="1"/>
    </w:pPr>
    <w:rPr>
      <w:rFonts w:ascii="宋体" w:hAnsi="宋体" w:cs="宋体"/>
      <w:kern w:val="0"/>
      <w:sz w:val="18"/>
      <w:szCs w:val="18"/>
    </w:rPr>
  </w:style>
  <w:style w:type="paragraph" w:customStyle="1" w:styleId="85">
    <w:name w:val="xl9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b/>
      <w:bCs/>
      <w:kern w:val="0"/>
      <w:sz w:val="20"/>
      <w:szCs w:val="20"/>
    </w:rPr>
  </w:style>
  <w:style w:type="paragraph" w:customStyle="1" w:styleId="86">
    <w:name w:val="xl9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87">
    <w:name w:val="xl9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88">
    <w:name w:val="xl9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89">
    <w:name w:val="xl9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0">
    <w:name w:val="xl9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1">
    <w:name w:val="xl9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both"/>
    </w:pPr>
    <w:rPr>
      <w:rFonts w:ascii="仿宋_GB2312" w:hAnsi="宋体" w:eastAsia="仿宋_GB2312" w:cs="宋体"/>
      <w:kern w:val="0"/>
      <w:sz w:val="20"/>
      <w:szCs w:val="20"/>
    </w:rPr>
  </w:style>
  <w:style w:type="paragraph" w:customStyle="1" w:styleId="92">
    <w:name w:val="xl9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3">
    <w:name w:val="xl10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top"/>
    </w:pPr>
    <w:rPr>
      <w:rFonts w:ascii="仿宋_GB2312" w:hAnsi="宋体" w:eastAsia="仿宋_GB2312" w:cs="宋体"/>
      <w:kern w:val="0"/>
      <w:sz w:val="20"/>
      <w:szCs w:val="20"/>
    </w:rPr>
  </w:style>
  <w:style w:type="paragraph" w:customStyle="1" w:styleId="94">
    <w:name w:val="xl10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95">
    <w:name w:val="xl10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96">
    <w:name w:val="xl10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7">
    <w:name w:val="xl104"/>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98">
    <w:name w:val="xl105"/>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99">
    <w:name w:val="xl106"/>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0">
    <w:name w:val="xl107"/>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18"/>
      <w:szCs w:val="18"/>
    </w:rPr>
  </w:style>
  <w:style w:type="paragraph" w:customStyle="1" w:styleId="101">
    <w:name w:val="xl10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bottom"/>
    </w:pPr>
    <w:rPr>
      <w:rFonts w:ascii="仿宋_GB2312" w:hAnsi="宋体" w:eastAsia="仿宋_GB2312" w:cs="宋体"/>
      <w:kern w:val="0"/>
      <w:sz w:val="20"/>
      <w:szCs w:val="20"/>
    </w:rPr>
  </w:style>
  <w:style w:type="paragraph" w:customStyle="1" w:styleId="102">
    <w:name w:val="xl109"/>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3">
    <w:name w:val="xl110"/>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4">
    <w:name w:val="xl111"/>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4"/>
      <w:szCs w:val="24"/>
    </w:rPr>
  </w:style>
  <w:style w:type="paragraph" w:customStyle="1" w:styleId="105">
    <w:name w:val="xl112"/>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06">
    <w:name w:val="xl113"/>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kern w:val="0"/>
      <w:sz w:val="20"/>
      <w:szCs w:val="20"/>
    </w:rPr>
  </w:style>
  <w:style w:type="paragraph" w:customStyle="1" w:styleId="107">
    <w:name w:val="xl114"/>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08">
    <w:name w:val="xl115"/>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仿宋_GB2312" w:hAnsi="宋体" w:eastAsia="仿宋_GB2312" w:cs="宋体"/>
      <w:kern w:val="0"/>
      <w:sz w:val="20"/>
      <w:szCs w:val="20"/>
    </w:rPr>
  </w:style>
  <w:style w:type="paragraph" w:customStyle="1" w:styleId="109">
    <w:name w:val="xl116"/>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both"/>
    </w:pPr>
    <w:rPr>
      <w:rFonts w:ascii="仿宋_GB2312" w:hAnsi="宋体" w:eastAsia="仿宋_GB2312" w:cs="宋体"/>
      <w:kern w:val="0"/>
      <w:sz w:val="20"/>
      <w:szCs w:val="20"/>
    </w:rPr>
  </w:style>
  <w:style w:type="paragraph" w:customStyle="1" w:styleId="110">
    <w:name w:val="xl117"/>
    <w:basedOn w:val="1"/>
    <w:autoRedefine/>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 w:val="20"/>
      <w:szCs w:val="20"/>
    </w:rPr>
  </w:style>
  <w:style w:type="paragraph" w:customStyle="1" w:styleId="111">
    <w:name w:val="xl118"/>
    <w:basedOn w:val="1"/>
    <w:autoRedefine/>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_GB2312" w:hAnsi="宋体" w:eastAsia="仿宋_GB2312" w:cs="宋体"/>
      <w:b/>
      <w:bCs/>
      <w:kern w:val="0"/>
      <w:sz w:val="20"/>
      <w:szCs w:val="20"/>
    </w:rPr>
  </w:style>
  <w:style w:type="paragraph" w:customStyle="1" w:styleId="112">
    <w:name w:val="xl119"/>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3">
    <w:name w:val="xl120"/>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b/>
      <w:bCs/>
      <w:kern w:val="0"/>
      <w:sz w:val="20"/>
      <w:szCs w:val="20"/>
    </w:rPr>
  </w:style>
  <w:style w:type="paragraph" w:customStyle="1" w:styleId="114">
    <w:name w:val="xl121"/>
    <w:basedOn w:val="1"/>
    <w:autoRedefine/>
    <w:qFormat/>
    <w:uiPriority w:val="99"/>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仿宋_GB2312" w:hAnsi="宋体" w:eastAsia="仿宋_GB2312" w:cs="宋体"/>
      <w:kern w:val="0"/>
      <w:sz w:val="20"/>
      <w:szCs w:val="20"/>
    </w:rPr>
  </w:style>
  <w:style w:type="paragraph" w:customStyle="1" w:styleId="115">
    <w:name w:val="大标题"/>
    <w:basedOn w:val="27"/>
    <w:autoRedefine/>
    <w:qFormat/>
    <w:uiPriority w:val="99"/>
    <w:pPr>
      <w:widowControl w:val="0"/>
      <w:adjustRightInd w:val="0"/>
      <w:snapToGrid w:val="0"/>
      <w:spacing w:after="240" w:line="576" w:lineRule="exact"/>
    </w:pPr>
    <w:rPr>
      <w:rFonts w:ascii="Arial" w:hAnsi="Arial" w:eastAsia="宋体" w:cs="Arial"/>
      <w:sz w:val="44"/>
    </w:rPr>
  </w:style>
  <w:style w:type="paragraph" w:customStyle="1" w:styleId="116">
    <w:name w:val="xl65"/>
    <w:basedOn w:val="1"/>
    <w:autoRedefine/>
    <w:qFormat/>
    <w:uiPriority w:val="99"/>
    <w:pPr>
      <w:spacing w:before="100" w:beforeAutospacing="1" w:after="100" w:afterAutospacing="1"/>
    </w:pPr>
    <w:rPr>
      <w:rFonts w:ascii="宋体" w:hAnsi="宋体" w:cs="宋体"/>
      <w:kern w:val="0"/>
      <w:szCs w:val="21"/>
    </w:rPr>
  </w:style>
  <w:style w:type="paragraph" w:customStyle="1" w:styleId="117">
    <w:name w:val="xl66"/>
    <w:basedOn w:val="1"/>
    <w:autoRedefine/>
    <w:qFormat/>
    <w:uiPriority w:val="99"/>
    <w:pPr>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118">
    <w:name w:val="xl67"/>
    <w:basedOn w:val="1"/>
    <w:autoRedefine/>
    <w:qFormat/>
    <w:uiPriority w:val="99"/>
    <w:pPr>
      <w:pBdr>
        <w:top w:val="single" w:color="auto" w:sz="8" w:space="0"/>
        <w:left w:val="single" w:color="auto" w:sz="8" w:space="0"/>
        <w:right w:val="single" w:color="auto" w:sz="8" w:space="0"/>
      </w:pBdr>
      <w:spacing w:before="100" w:beforeAutospacing="1" w:after="100" w:afterAutospacing="1"/>
      <w:jc w:val="center"/>
    </w:pPr>
    <w:rPr>
      <w:rFonts w:ascii="宋体" w:hAnsi="宋体" w:cs="宋体"/>
      <w:kern w:val="0"/>
      <w:szCs w:val="21"/>
    </w:rPr>
  </w:style>
  <w:style w:type="character" w:customStyle="1" w:styleId="119">
    <w:name w:val="脚注文本 字符"/>
    <w:basedOn w:val="31"/>
    <w:link w:val="22"/>
    <w:autoRedefine/>
    <w:semiHidden/>
    <w:qFormat/>
    <w:uiPriority w:val="99"/>
    <w:rPr>
      <w:rFonts w:ascii="等线" w:hAnsi="等线"/>
      <w:kern w:val="2"/>
      <w:sz w:val="18"/>
      <w:szCs w:val="18"/>
    </w:rPr>
  </w:style>
  <w:style w:type="character" w:customStyle="1" w:styleId="120">
    <w:name w:val="批注文字 字符"/>
    <w:basedOn w:val="31"/>
    <w:link w:val="10"/>
    <w:autoRedefine/>
    <w:semiHidden/>
    <w:qFormat/>
    <w:uiPriority w:val="99"/>
    <w:rPr>
      <w:rFonts w:ascii="等线" w:hAnsi="等线"/>
      <w:kern w:val="2"/>
      <w:sz w:val="21"/>
      <w:szCs w:val="22"/>
    </w:rPr>
  </w:style>
  <w:style w:type="character" w:customStyle="1" w:styleId="121">
    <w:name w:val="批注主题 字符"/>
    <w:basedOn w:val="120"/>
    <w:link w:val="28"/>
    <w:autoRedefine/>
    <w:semiHidden/>
    <w:qFormat/>
    <w:uiPriority w:val="99"/>
    <w:rPr>
      <w:rFonts w:ascii="等线" w:hAnsi="等线"/>
      <w:b/>
      <w:bCs/>
      <w:kern w:val="2"/>
      <w:sz w:val="21"/>
      <w:szCs w:val="22"/>
    </w:rPr>
  </w:style>
  <w:style w:type="paragraph" w:customStyle="1" w:styleId="122">
    <w:name w:val="BodyText3"/>
    <w:basedOn w:val="1"/>
    <w:next w:val="123"/>
    <w:autoRedefine/>
    <w:qFormat/>
    <w:uiPriority w:val="0"/>
    <w:pPr>
      <w:spacing w:after="120"/>
      <w:textAlignment w:val="baseline"/>
    </w:pPr>
    <w:rPr>
      <w:rFonts w:eastAsia="等线"/>
      <w:sz w:val="16"/>
      <w:szCs w:val="16"/>
    </w:rPr>
  </w:style>
  <w:style w:type="paragraph" w:customStyle="1" w:styleId="123">
    <w:name w:val="UserStyle_1"/>
    <w:basedOn w:val="1"/>
    <w:autoRedefine/>
    <w:qFormat/>
    <w:uiPriority w:val="0"/>
    <w:pPr>
      <w:tabs>
        <w:tab w:val="left" w:pos="840"/>
      </w:tabs>
      <w:ind w:left="840" w:hanging="420"/>
      <w:textAlignment w:val="baseline"/>
    </w:pPr>
    <w:rPr>
      <w:rFonts w:ascii="Calibri" w:hAnsi="Calibri"/>
      <w:sz w:val="24"/>
      <w:szCs w:val="3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header" Target="header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numbering" Target="numbering.xml"/><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6ABF25-C838-4D3B-B5BE-2703192623AA}">
  <ds:schemaRefs/>
</ds:datastoreItem>
</file>

<file path=docProps/app.xml><?xml version="1.0" encoding="utf-8"?>
<Properties xmlns="http://schemas.openxmlformats.org/officeDocument/2006/extended-properties" xmlns:vt="http://schemas.openxmlformats.org/officeDocument/2006/docPropsVTypes">
  <Template>Normal</Template>
  <Company>Organization</Company>
  <Pages>161</Pages>
  <Words>4150</Words>
  <Characters>4412</Characters>
  <Lines>822</Lines>
  <Paragraphs>231</Paragraphs>
  <TotalTime>300</TotalTime>
  <ScaleCrop>false</ScaleCrop>
  <LinksUpToDate>false</LinksUpToDate>
  <CharactersWithSpaces>4565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2021-05-07T09:01:00Z</dcterms:created>
  <dc:creator>Windows 用户</dc:creator>
  <cp:lastModifiedBy>小幸福！</cp:lastModifiedBy>
  <cp:lastPrinted>2023-05-05T00:40:00Z</cp:lastPrinted>
  <dcterms:modified xsi:type="dcterms:W3CDTF">2025-05-09T07:23:20Z</dcterms:modified>
  <dc:title>宝鸡市金台区国民经济和社会发展</dc:title>
  <cp:revision>182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D09E4DA86C4A4D0F881323D207B2EBD4_13</vt:lpwstr>
  </property>
  <property fmtid="{D5CDD505-2E9C-101B-9397-08002B2CF9AE}" pid="4" name="KSOTemplateDocerSaveRecord">
    <vt:lpwstr>eyJoZGlkIjoiMDhhMDdiYjU5Nzk0ZDQwYjc1MDQxODZjOWQzYjVkNTEiLCJ1c2VySWQiOiI5NDEyNDU2MjkifQ==</vt:lpwstr>
  </property>
</Properties>
</file>