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F576F">
      <w:pPr>
        <w:pStyle w:val="7"/>
        <w:spacing w:line="247" w:lineRule="auto"/>
      </w:pPr>
    </w:p>
    <w:p w14:paraId="1064095D">
      <w:pPr>
        <w:pStyle w:val="7"/>
        <w:spacing w:line="247" w:lineRule="auto"/>
      </w:pPr>
    </w:p>
    <w:p w14:paraId="5A5DB27C">
      <w:pPr>
        <w:pStyle w:val="7"/>
        <w:spacing w:line="247" w:lineRule="auto"/>
      </w:pPr>
    </w:p>
    <w:p w14:paraId="582FCC67">
      <w:pPr>
        <w:pStyle w:val="7"/>
        <w:spacing w:line="247" w:lineRule="auto"/>
      </w:pPr>
    </w:p>
    <w:p w14:paraId="55CBE720">
      <w:pPr>
        <w:pStyle w:val="7"/>
        <w:spacing w:line="247" w:lineRule="auto"/>
      </w:pPr>
    </w:p>
    <w:p w14:paraId="7A18E459">
      <w:pPr>
        <w:pStyle w:val="7"/>
        <w:spacing w:line="247" w:lineRule="auto"/>
      </w:pPr>
    </w:p>
    <w:p w14:paraId="26235DE0">
      <w:pPr>
        <w:pStyle w:val="7"/>
        <w:spacing w:line="247" w:lineRule="auto"/>
      </w:pPr>
    </w:p>
    <w:p w14:paraId="25CAAE59">
      <w:pPr>
        <w:widowControl/>
        <w:kinsoku/>
        <w:autoSpaceDE/>
        <w:autoSpaceDN/>
        <w:adjustRightInd/>
        <w:snapToGrid/>
        <w:spacing w:line="1000" w:lineRule="exact"/>
        <w:ind w:firstLine="0" w:firstLineChars="0"/>
        <w:jc w:val="center"/>
        <w:textAlignment w:val="auto"/>
        <w:rPr>
          <w:rFonts w:hint="default" w:ascii="Times New Roman" w:hAnsi="Times New Roman" w:eastAsia="方正小标宋简体" w:cs="Times New Roman"/>
          <w:snapToGrid/>
          <w:color w:val="auto"/>
          <w:spacing w:val="20"/>
          <w:kern w:val="0"/>
          <w:sz w:val="64"/>
          <w:szCs w:val="64"/>
          <w:highlight w:val="none"/>
          <w:lang w:val="en-US" w:eastAsia="zh-CN"/>
        </w:rPr>
      </w:pPr>
      <w:r>
        <w:rPr>
          <w:rFonts w:hint="eastAsia" w:ascii="Times New Roman" w:hAnsi="Times New Roman" w:eastAsia="方正小标宋简体" w:cs="Times New Roman"/>
          <w:snapToGrid/>
          <w:color w:val="auto"/>
          <w:spacing w:val="20"/>
          <w:kern w:val="0"/>
          <w:sz w:val="64"/>
          <w:szCs w:val="64"/>
          <w:highlight w:val="none"/>
          <w:lang w:val="en-US" w:eastAsia="zh-CN"/>
        </w:rPr>
        <w:t>宝鸡市金台区</w:t>
      </w:r>
      <w:r>
        <w:rPr>
          <w:rFonts w:hint="default" w:ascii="Times New Roman" w:hAnsi="Times New Roman" w:eastAsia="方正小标宋简体" w:cs="Times New Roman"/>
          <w:snapToGrid/>
          <w:color w:val="auto"/>
          <w:spacing w:val="20"/>
          <w:kern w:val="0"/>
          <w:sz w:val="64"/>
          <w:szCs w:val="64"/>
          <w:highlight w:val="none"/>
          <w:lang w:val="en-US" w:eastAsia="zh-CN"/>
        </w:rPr>
        <w:t>国土空间总体</w:t>
      </w:r>
    </w:p>
    <w:p w14:paraId="413A960E">
      <w:pPr>
        <w:widowControl/>
        <w:kinsoku/>
        <w:autoSpaceDE/>
        <w:autoSpaceDN/>
        <w:adjustRightInd/>
        <w:snapToGrid/>
        <w:spacing w:line="1000" w:lineRule="exact"/>
        <w:ind w:firstLine="0" w:firstLineChars="0"/>
        <w:jc w:val="center"/>
        <w:textAlignment w:val="auto"/>
        <w:rPr>
          <w:rFonts w:hint="default" w:ascii="Times New Roman" w:hAnsi="Times New Roman" w:eastAsia="方正小标宋简体" w:cs="Times New Roman"/>
          <w:snapToGrid/>
          <w:color w:val="auto"/>
          <w:spacing w:val="20"/>
          <w:kern w:val="0"/>
          <w:sz w:val="64"/>
          <w:szCs w:val="64"/>
          <w:highlight w:val="none"/>
          <w:lang w:val="en-US" w:eastAsia="zh-CN"/>
        </w:rPr>
      </w:pPr>
      <w:r>
        <w:rPr>
          <w:rFonts w:hint="default" w:ascii="Times New Roman" w:hAnsi="Times New Roman" w:eastAsia="方正小标宋简体" w:cs="Times New Roman"/>
          <w:snapToGrid/>
          <w:color w:val="auto"/>
          <w:spacing w:val="20"/>
          <w:kern w:val="0"/>
          <w:sz w:val="64"/>
          <w:szCs w:val="64"/>
          <w:highlight w:val="none"/>
          <w:lang w:val="en-US" w:eastAsia="zh-CN"/>
        </w:rPr>
        <w:t>规</w:t>
      </w:r>
      <w:r>
        <w:rPr>
          <w:rFonts w:hint="eastAsia" w:ascii="Times New Roman" w:hAnsi="Times New Roman" w:eastAsia="方正小标宋简体" w:cs="Times New Roman"/>
          <w:snapToGrid/>
          <w:color w:val="auto"/>
          <w:spacing w:val="20"/>
          <w:kern w:val="0"/>
          <w:sz w:val="64"/>
          <w:szCs w:val="64"/>
          <w:highlight w:val="none"/>
          <w:lang w:val="en-US" w:eastAsia="zh-CN"/>
        </w:rPr>
        <w:t>划</w:t>
      </w:r>
      <w:r>
        <w:rPr>
          <w:rFonts w:hint="default" w:ascii="Times New Roman" w:hAnsi="Times New Roman" w:eastAsia="方正小标宋简体" w:cs="Times New Roman"/>
          <w:snapToGrid/>
          <w:color w:val="auto"/>
          <w:spacing w:val="20"/>
          <w:kern w:val="0"/>
          <w:sz w:val="64"/>
          <w:szCs w:val="64"/>
          <w:highlight w:val="none"/>
          <w:lang w:val="en-US" w:eastAsia="zh-CN"/>
        </w:rPr>
        <w:t>2026 年度动态维护方案</w:t>
      </w:r>
    </w:p>
    <w:p w14:paraId="21EE2FE8">
      <w:pPr>
        <w:widowControl/>
        <w:kinsoku/>
        <w:autoSpaceDE/>
        <w:autoSpaceDN/>
        <w:adjustRightInd/>
        <w:snapToGrid/>
        <w:spacing w:line="1000" w:lineRule="exact"/>
        <w:ind w:firstLine="0" w:firstLineChars="0"/>
        <w:jc w:val="center"/>
        <w:textAlignment w:val="auto"/>
        <w:rPr>
          <w:rFonts w:hint="default" w:ascii="Times New Roman" w:hAnsi="Times New Roman" w:eastAsia="方正小标宋简体" w:cs="Times New Roman"/>
          <w:snapToGrid/>
          <w:color w:val="auto"/>
          <w:spacing w:val="20"/>
          <w:kern w:val="0"/>
          <w:sz w:val="64"/>
          <w:szCs w:val="64"/>
          <w:highlight w:val="none"/>
          <w:lang w:val="en-US" w:eastAsia="zh-CN"/>
        </w:rPr>
      </w:pPr>
      <w:r>
        <w:rPr>
          <w:rFonts w:hint="default" w:ascii="Times New Roman" w:hAnsi="Times New Roman" w:eastAsia="方正小标宋简体" w:cs="Times New Roman"/>
          <w:snapToGrid/>
          <w:color w:val="auto"/>
          <w:spacing w:val="20"/>
          <w:kern w:val="0"/>
          <w:sz w:val="64"/>
          <w:szCs w:val="64"/>
          <w:highlight w:val="none"/>
          <w:lang w:val="en-US" w:eastAsia="zh-CN"/>
        </w:rPr>
        <w:t>（公示稿）</w:t>
      </w:r>
    </w:p>
    <w:p w14:paraId="0FA1548C">
      <w:pPr>
        <w:pStyle w:val="7"/>
        <w:spacing w:line="245" w:lineRule="auto"/>
      </w:pPr>
    </w:p>
    <w:p w14:paraId="1BF4AD6B">
      <w:pPr>
        <w:pStyle w:val="7"/>
        <w:spacing w:line="245" w:lineRule="auto"/>
      </w:pPr>
    </w:p>
    <w:p w14:paraId="19B36699">
      <w:pPr>
        <w:pStyle w:val="7"/>
        <w:spacing w:line="245" w:lineRule="auto"/>
      </w:pPr>
    </w:p>
    <w:p w14:paraId="3F1EB334">
      <w:pPr>
        <w:pStyle w:val="7"/>
        <w:spacing w:line="245" w:lineRule="auto"/>
      </w:pPr>
      <w:bookmarkStart w:id="0" w:name="_GoBack"/>
      <w:bookmarkEnd w:id="0"/>
    </w:p>
    <w:p w14:paraId="3D72F0A5">
      <w:pPr>
        <w:pStyle w:val="7"/>
        <w:spacing w:line="245" w:lineRule="auto"/>
      </w:pPr>
    </w:p>
    <w:p w14:paraId="328D4641">
      <w:pPr>
        <w:pStyle w:val="7"/>
        <w:spacing w:line="245" w:lineRule="auto"/>
      </w:pPr>
    </w:p>
    <w:p w14:paraId="48E56FB4">
      <w:pPr>
        <w:pStyle w:val="7"/>
        <w:spacing w:line="245" w:lineRule="auto"/>
      </w:pPr>
    </w:p>
    <w:p w14:paraId="54F338C0">
      <w:pPr>
        <w:pStyle w:val="7"/>
        <w:spacing w:line="245" w:lineRule="auto"/>
      </w:pPr>
    </w:p>
    <w:p w14:paraId="12D0DC02">
      <w:pPr>
        <w:pStyle w:val="7"/>
        <w:spacing w:line="245" w:lineRule="auto"/>
      </w:pPr>
    </w:p>
    <w:p w14:paraId="11095E1A">
      <w:pPr>
        <w:pStyle w:val="7"/>
        <w:spacing w:line="245" w:lineRule="auto"/>
      </w:pPr>
    </w:p>
    <w:p w14:paraId="3919F66F">
      <w:pPr>
        <w:pStyle w:val="7"/>
        <w:spacing w:line="245" w:lineRule="auto"/>
      </w:pPr>
    </w:p>
    <w:p w14:paraId="54AC7FCF">
      <w:pPr>
        <w:pStyle w:val="7"/>
        <w:spacing w:line="245" w:lineRule="auto"/>
      </w:pPr>
    </w:p>
    <w:p w14:paraId="0A619E86">
      <w:pPr>
        <w:pStyle w:val="7"/>
        <w:spacing w:line="245" w:lineRule="auto"/>
      </w:pPr>
    </w:p>
    <w:p w14:paraId="0CFDD1DB">
      <w:pPr>
        <w:pStyle w:val="7"/>
        <w:spacing w:line="245" w:lineRule="auto"/>
      </w:pPr>
    </w:p>
    <w:p w14:paraId="3DF1B2B7">
      <w:pPr>
        <w:pStyle w:val="7"/>
        <w:spacing w:line="245" w:lineRule="auto"/>
      </w:pPr>
    </w:p>
    <w:p w14:paraId="358130D1">
      <w:pPr>
        <w:pStyle w:val="7"/>
        <w:spacing w:line="246" w:lineRule="auto"/>
      </w:pPr>
    </w:p>
    <w:p w14:paraId="77E329CE">
      <w:pPr>
        <w:pStyle w:val="7"/>
        <w:spacing w:line="246" w:lineRule="auto"/>
      </w:pPr>
    </w:p>
    <w:p w14:paraId="0938EA41">
      <w:pPr>
        <w:pStyle w:val="7"/>
        <w:spacing w:line="246" w:lineRule="auto"/>
      </w:pPr>
    </w:p>
    <w:p w14:paraId="2195C20E">
      <w:pPr>
        <w:pStyle w:val="7"/>
        <w:spacing w:line="246" w:lineRule="auto"/>
      </w:pPr>
    </w:p>
    <w:p w14:paraId="23017EE7">
      <w:pPr>
        <w:pStyle w:val="7"/>
        <w:spacing w:line="246" w:lineRule="auto"/>
      </w:pPr>
    </w:p>
    <w:p w14:paraId="0B8991B4">
      <w:pPr>
        <w:pStyle w:val="7"/>
        <w:spacing w:line="246" w:lineRule="auto"/>
      </w:pPr>
    </w:p>
    <w:p w14:paraId="324DA6E3">
      <w:pPr>
        <w:pStyle w:val="7"/>
        <w:spacing w:line="246" w:lineRule="auto"/>
      </w:pPr>
    </w:p>
    <w:p w14:paraId="0AFD2C89">
      <w:pPr>
        <w:pStyle w:val="7"/>
        <w:spacing w:line="246" w:lineRule="auto"/>
      </w:pPr>
    </w:p>
    <w:p w14:paraId="13450118">
      <w:pPr>
        <w:pStyle w:val="7"/>
        <w:spacing w:line="246" w:lineRule="auto"/>
      </w:pPr>
    </w:p>
    <w:p w14:paraId="634741E0">
      <w:pPr>
        <w:pStyle w:val="7"/>
        <w:spacing w:line="246" w:lineRule="auto"/>
      </w:pPr>
    </w:p>
    <w:p w14:paraId="415344C6">
      <w:pPr>
        <w:pStyle w:val="7"/>
        <w:spacing w:line="246" w:lineRule="auto"/>
      </w:pPr>
    </w:p>
    <w:p w14:paraId="4FEA7D5C">
      <w:pPr>
        <w:pStyle w:val="7"/>
        <w:spacing w:line="246" w:lineRule="auto"/>
      </w:pPr>
    </w:p>
    <w:p w14:paraId="68DA2E53">
      <w:pPr>
        <w:widowControl/>
        <w:autoSpaceDE/>
        <w:autoSpaceDN/>
        <w:spacing w:line="600" w:lineRule="exact"/>
        <w:ind w:left="0" w:leftChars="0" w:firstLine="0" w:firstLineChars="0"/>
        <w:jc w:val="center"/>
        <w:rPr>
          <w:rFonts w:hint="default" w:ascii="Times New Roman" w:hAnsi="Times New Roman" w:eastAsia="方正小标宋简体" w:cs="Times New Roman"/>
          <w:color w:val="auto"/>
          <w:sz w:val="36"/>
          <w:szCs w:val="36"/>
          <w:highlight w:val="none"/>
          <w:lang w:val="en-US"/>
        </w:rPr>
      </w:pPr>
      <w:r>
        <w:rPr>
          <w:rFonts w:hint="eastAsia" w:ascii="Times New Roman" w:hAnsi="Times New Roman" w:eastAsia="方正小标宋简体" w:cs="Times New Roman"/>
          <w:color w:val="auto"/>
          <w:sz w:val="36"/>
          <w:szCs w:val="36"/>
          <w:highlight w:val="none"/>
          <w:lang w:val="en-US" w:eastAsia="zh-CN"/>
        </w:rPr>
        <w:t>宝鸡市自然资源和规划局金台分局</w:t>
      </w:r>
    </w:p>
    <w:p w14:paraId="5FBC0669">
      <w:pPr>
        <w:widowControl/>
        <w:autoSpaceDE/>
        <w:autoSpaceDN/>
        <w:spacing w:line="600" w:lineRule="exact"/>
        <w:ind w:left="0" w:leftChars="0" w:firstLine="0" w:firstLineChars="0"/>
        <w:jc w:val="center"/>
        <w:rPr>
          <w:rFonts w:hint="default" w:ascii="Times New Roman" w:hAnsi="Times New Roman" w:eastAsia="方正小标宋简体" w:cs="Times New Roman"/>
          <w:color w:val="auto"/>
          <w:sz w:val="36"/>
          <w:szCs w:val="36"/>
          <w:highlight w:val="none"/>
        </w:rPr>
      </w:pPr>
      <w:r>
        <w:rPr>
          <w:rFonts w:hint="default" w:ascii="Times New Roman" w:hAnsi="Times New Roman" w:eastAsia="方正小标宋简体" w:cs="Times New Roman"/>
          <w:color w:val="auto"/>
          <w:sz w:val="36"/>
          <w:szCs w:val="36"/>
          <w:highlight w:val="none"/>
        </w:rPr>
        <w:t>2026 年 6 月</w:t>
      </w:r>
    </w:p>
    <w:p w14:paraId="64665399">
      <w:pPr>
        <w:widowControl/>
        <w:autoSpaceDE/>
        <w:autoSpaceDN/>
        <w:spacing w:line="600" w:lineRule="exact"/>
        <w:ind w:left="0" w:leftChars="0" w:firstLine="0" w:firstLineChars="0"/>
        <w:jc w:val="center"/>
        <w:rPr>
          <w:rFonts w:hint="default" w:ascii="Times New Roman" w:hAnsi="Times New Roman" w:eastAsia="方正小标宋简体" w:cs="Times New Roman"/>
          <w:color w:val="auto"/>
          <w:sz w:val="36"/>
          <w:szCs w:val="36"/>
          <w:highlight w:val="none"/>
        </w:rPr>
        <w:sectPr>
          <w:pgSz w:w="11906" w:h="16839"/>
          <w:pgMar w:top="1701" w:right="1417" w:bottom="1531" w:left="1701" w:header="0" w:footer="0" w:gutter="0"/>
          <w:cols w:space="0" w:num="1"/>
          <w:rtlGutter w:val="0"/>
          <w:docGrid w:linePitch="0" w:charSpace="0"/>
        </w:sectPr>
      </w:pPr>
    </w:p>
    <w:p w14:paraId="72B653E9">
      <w:pPr>
        <w:spacing w:before="162" w:line="227" w:lineRule="auto"/>
        <w:ind w:left="751"/>
        <w:outlineLvl w:val="0"/>
        <w:rPr>
          <w:rFonts w:hint="default" w:ascii="Times New Roman" w:hAnsi="Times New Roman" w:eastAsia="黑体" w:cs="Times New Roman"/>
          <w:b w:val="0"/>
          <w:bCs/>
          <w:snapToGrid/>
          <w:color w:val="auto"/>
          <w:kern w:val="44"/>
          <w:sz w:val="32"/>
          <w:szCs w:val="40"/>
          <w:highlight w:val="none"/>
          <w:lang w:val="en-US" w:eastAsia="zh-CN" w:bidi="ar-SA"/>
        </w:rPr>
      </w:pPr>
      <w:r>
        <w:rPr>
          <w:rFonts w:hint="default" w:ascii="Times New Roman" w:hAnsi="Times New Roman" w:eastAsia="黑体" w:cs="Times New Roman"/>
          <w:b w:val="0"/>
          <w:bCs/>
          <w:snapToGrid/>
          <w:color w:val="auto"/>
          <w:kern w:val="44"/>
          <w:sz w:val="32"/>
          <w:szCs w:val="40"/>
          <w:highlight w:val="none"/>
          <w:lang w:val="en-US" w:eastAsia="zh-CN" w:bidi="ar-SA"/>
        </w:rPr>
        <w:t>一 、 总则</w:t>
      </w:r>
    </w:p>
    <w:p w14:paraId="6495AF4B">
      <w:pPr>
        <w:spacing w:before="244" w:line="220" w:lineRule="auto"/>
        <w:ind w:left="659"/>
        <w:outlineLvl w:val="1"/>
        <w:rPr>
          <w:rFonts w:hint="eastAsia"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（一）</w:t>
      </w:r>
      <w:r>
        <w:rPr>
          <w:rFonts w:hint="eastAsia" w:ascii="Times New Roman" w:hAnsi="Times New Roman" w:eastAsia="仿宋_GB2312" w:cs="Times New Roman"/>
          <w:b/>
          <w:snapToGrid w:val="0"/>
          <w:color w:val="auto"/>
          <w:kern w:val="44"/>
          <w:sz w:val="30"/>
          <w:szCs w:val="21"/>
          <w:highlight w:val="none"/>
          <w:lang w:val="en-US" w:eastAsia="zh-CN" w:bidi="ar-SA"/>
        </w:rPr>
        <w:t>编制目的</w:t>
      </w:r>
    </w:p>
    <w:p w14:paraId="02F17E15">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eastAsia"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为全面落实《自然资源部国土空间规划局关于国土空间总体规划动态调整完善工作有关问题的答复（自然资空间规划函〔2025〕411号）》及陕西省自然资源厅关于国土空间总体规划动态调整完善系列文件要求，严格遵循《陕西省国土空间总体规划2026年度动态调整完善技术指南（试行，第三版）》，衔接《宝鸡市金台区国土空间总体规划（2021—2035年）》成果与《2024年度金台区国土空间规划城市体检评估成果》，特编制本方案。</w:t>
      </w:r>
    </w:p>
    <w:p w14:paraId="42A38509">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本次动态维护核心目的在于坚守生态保护红线、耕地和永久基本农田保护红线、城镇开发边界三条控制线刚性约束，以“十五五”高质量发展需求为导向，构建全域统一、权责清晰、刚弹结合的国土空间开发保护格局。通过系统优化国土空间结构与布局，持续提升国土空间集约利用水平与治理效能，为金台区“十五五”时期经济社会高质量发展提供坚实空间保障，推动生态效益、经济效益、社会效益协同提升</w:t>
      </w:r>
      <w:r>
        <w:rPr>
          <w:rFonts w:hint="default" w:ascii="Times New Roman" w:hAnsi="Times New Roman" w:eastAsia="仿宋_GB2312" w:cs="Times New Roman"/>
          <w:snapToGrid/>
          <w:color w:val="auto"/>
          <w:kern w:val="2"/>
          <w:sz w:val="30"/>
          <w:szCs w:val="24"/>
          <w:highlight w:val="none"/>
          <w:lang w:val="en-US" w:eastAsia="zh-CN"/>
        </w:rPr>
        <w:t>。</w:t>
      </w:r>
    </w:p>
    <w:p w14:paraId="7F85DC0B">
      <w:pPr>
        <w:spacing w:before="1" w:line="226" w:lineRule="auto"/>
        <w:ind w:left="659"/>
        <w:outlineLvl w:val="1"/>
        <w:rPr>
          <w:rFonts w:hint="eastAsia"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（二）编制</w:t>
      </w:r>
      <w:r>
        <w:rPr>
          <w:rFonts w:hint="eastAsia" w:ascii="Times New Roman" w:hAnsi="Times New Roman" w:eastAsia="仿宋_GB2312" w:cs="Times New Roman"/>
          <w:b/>
          <w:snapToGrid w:val="0"/>
          <w:color w:val="auto"/>
          <w:kern w:val="44"/>
          <w:sz w:val="30"/>
          <w:szCs w:val="21"/>
          <w:highlight w:val="none"/>
          <w:lang w:val="en-US" w:eastAsia="zh-CN" w:bidi="ar-SA"/>
        </w:rPr>
        <w:t>目标</w:t>
      </w:r>
    </w:p>
    <w:p w14:paraId="05EEB64E">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eastAsia"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确保耕地保有量、永久基本农田保护面积、生态保护红线面积不低于规划要求，城镇开发边界总规模不突破，筑牢粮食安全、生态安全、国土安全屏障。</w:t>
      </w:r>
    </w:p>
    <w:p w14:paraId="77CF741E">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eastAsia"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精准对接金台区“十五五”产业升级、基础设施、民生改善、生态修复等重点项目，实现项目空间精准落位与合规保障。</w:t>
      </w:r>
    </w:p>
    <w:p w14:paraId="3A7AE36F">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eastAsia"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针对体检评估发现的空间错配、要素缺口、布局矛盾等问题，正向优化“三区三线”、中心城区用地布局、规划分区等内容，提升国土空间利用效率与品质。</w:t>
      </w:r>
    </w:p>
    <w:p w14:paraId="2B249A3A">
      <w:pPr>
        <w:spacing w:before="3" w:line="222" w:lineRule="auto"/>
        <w:ind w:left="659"/>
        <w:outlineLvl w:val="1"/>
        <w:rPr>
          <w:rFonts w:hint="eastAsia"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（三）</w:t>
      </w:r>
      <w:r>
        <w:rPr>
          <w:rFonts w:hint="eastAsia" w:ascii="Times New Roman" w:hAnsi="Times New Roman" w:eastAsia="仿宋_GB2312" w:cs="Times New Roman"/>
          <w:b/>
          <w:snapToGrid w:val="0"/>
          <w:color w:val="auto"/>
          <w:kern w:val="44"/>
          <w:sz w:val="30"/>
          <w:szCs w:val="21"/>
          <w:highlight w:val="none"/>
          <w:lang w:val="en-US" w:eastAsia="zh-CN" w:bidi="ar-SA"/>
        </w:rPr>
        <w:t>编制内容</w:t>
      </w:r>
    </w:p>
    <w:p w14:paraId="4F8E0F12">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1.</w:t>
      </w:r>
      <w:r>
        <w:rPr>
          <w:rFonts w:hint="default" w:ascii="Times New Roman" w:hAnsi="Times New Roman" w:eastAsia="仿宋_GB2312" w:cs="Times New Roman"/>
          <w:snapToGrid/>
          <w:color w:val="auto"/>
          <w:kern w:val="2"/>
          <w:sz w:val="30"/>
          <w:szCs w:val="24"/>
          <w:highlight w:val="none"/>
          <w:lang w:val="en-US" w:eastAsia="zh-CN"/>
        </w:rPr>
        <w:t>底线管控优化</w:t>
      </w:r>
    </w:p>
    <w:p w14:paraId="45BF0693">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default" w:ascii="Times New Roman" w:hAnsi="Times New Roman" w:eastAsia="仿宋_GB2312" w:cs="Times New Roman"/>
          <w:snapToGrid/>
          <w:color w:val="auto"/>
          <w:kern w:val="2"/>
          <w:sz w:val="30"/>
          <w:szCs w:val="24"/>
          <w:highlight w:val="none"/>
          <w:lang w:val="en-US" w:eastAsia="zh-CN"/>
        </w:rPr>
        <w:t>统筹</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十四五</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指标使用情况，核减低效利用增量空间并调剂至优势区域；优化边界内布局，契合城镇主要发展方向。</w:t>
      </w:r>
    </w:p>
    <w:p w14:paraId="435C82B1">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2.</w:t>
      </w:r>
      <w:r>
        <w:rPr>
          <w:rFonts w:hint="default" w:ascii="Times New Roman" w:hAnsi="Times New Roman" w:eastAsia="仿宋_GB2312" w:cs="Times New Roman"/>
          <w:snapToGrid/>
          <w:color w:val="auto"/>
          <w:kern w:val="2"/>
          <w:sz w:val="30"/>
          <w:szCs w:val="24"/>
          <w:highlight w:val="none"/>
          <w:lang w:val="en-US" w:eastAsia="zh-CN"/>
        </w:rPr>
        <w:t>重点项目空间保障</w:t>
      </w:r>
    </w:p>
    <w:p w14:paraId="14A50F17">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default" w:ascii="Times New Roman" w:hAnsi="Times New Roman" w:eastAsia="仿宋_GB2312" w:cs="Times New Roman"/>
          <w:snapToGrid/>
          <w:color w:val="auto"/>
          <w:kern w:val="2"/>
          <w:sz w:val="30"/>
          <w:szCs w:val="24"/>
          <w:highlight w:val="none"/>
          <w:lang w:val="en-US" w:eastAsia="zh-CN"/>
        </w:rPr>
        <w:t>对接同级发展改革部门确认的</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十五五</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重点项目清单，纳入</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一张图</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统一管理。优先保障战略性新兴产业、公益性项目用地，确保合规落地。</w:t>
      </w:r>
    </w:p>
    <w:p w14:paraId="41A6DD14">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3.</w:t>
      </w:r>
      <w:r>
        <w:rPr>
          <w:rFonts w:hint="default" w:ascii="Times New Roman" w:hAnsi="Times New Roman" w:eastAsia="仿宋_GB2312" w:cs="Times New Roman"/>
          <w:snapToGrid/>
          <w:color w:val="auto"/>
          <w:kern w:val="2"/>
          <w:sz w:val="30"/>
          <w:szCs w:val="24"/>
          <w:highlight w:val="none"/>
          <w:lang w:val="en-US" w:eastAsia="zh-CN"/>
        </w:rPr>
        <w:t>空间布局正向优化</w:t>
      </w:r>
    </w:p>
    <w:p w14:paraId="7FFB9633">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default" w:ascii="Times New Roman" w:hAnsi="Times New Roman" w:eastAsia="仿宋_GB2312" w:cs="Times New Roman"/>
          <w:snapToGrid/>
          <w:color w:val="auto"/>
          <w:kern w:val="2"/>
          <w:sz w:val="30"/>
          <w:szCs w:val="24"/>
          <w:highlight w:val="none"/>
          <w:lang w:val="en-US" w:eastAsia="zh-CN"/>
        </w:rPr>
        <w:t>结合城市更新与民生需求，优化居住、公共服务、产业用地结构；依据</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三区三线</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优化结果，同步调整农田保护区、城镇发展区等分区边界。完善城市绿线、黄线、蓝线、紫线管控，衔接行业主管部门法定成果。</w:t>
      </w:r>
    </w:p>
    <w:p w14:paraId="66384204">
      <w:pPr>
        <w:spacing w:before="162" w:line="227" w:lineRule="auto"/>
        <w:ind w:left="751"/>
        <w:outlineLvl w:val="0"/>
        <w:rPr>
          <w:rFonts w:hint="default" w:ascii="Times New Roman" w:hAnsi="Times New Roman" w:eastAsia="黑体" w:cs="Times New Roman"/>
          <w:b w:val="0"/>
          <w:bCs/>
          <w:snapToGrid/>
          <w:color w:val="auto"/>
          <w:kern w:val="44"/>
          <w:sz w:val="32"/>
          <w:szCs w:val="40"/>
          <w:highlight w:val="none"/>
          <w:lang w:val="en-US" w:eastAsia="zh-CN" w:bidi="ar-SA"/>
        </w:rPr>
      </w:pPr>
      <w:r>
        <w:rPr>
          <w:rFonts w:hint="default" w:ascii="Times New Roman" w:hAnsi="Times New Roman" w:eastAsia="黑体" w:cs="Times New Roman"/>
          <w:b w:val="0"/>
          <w:bCs/>
          <w:snapToGrid/>
          <w:color w:val="auto"/>
          <w:kern w:val="44"/>
          <w:sz w:val="32"/>
          <w:szCs w:val="40"/>
          <w:highlight w:val="none"/>
          <w:lang w:val="en-US" w:eastAsia="zh-CN" w:bidi="ar-SA"/>
        </w:rPr>
        <w:t>二 、动态维护方案</w:t>
      </w:r>
    </w:p>
    <w:p w14:paraId="046CEADF">
      <w:pPr>
        <w:spacing w:before="245" w:line="219" w:lineRule="auto"/>
        <w:ind w:left="659"/>
        <w:outlineLvl w:val="1"/>
        <w:rPr>
          <w:rFonts w:hint="default"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（一）空间管控边界维护</w:t>
      </w:r>
    </w:p>
    <w:p w14:paraId="63DCC6B8">
      <w:pPr>
        <w:spacing w:before="256" w:line="222" w:lineRule="auto"/>
        <w:ind w:left="675"/>
        <w:outlineLvl w:val="2"/>
        <w:rPr>
          <w:rFonts w:ascii="FangSong_GB2312" w:hAnsi="FangSong_GB2312" w:eastAsia="FangSong_GB2312" w:cs="FangSong_GB2312"/>
          <w:sz w:val="31"/>
          <w:szCs w:val="31"/>
        </w:rPr>
      </w:pPr>
      <w:r>
        <w:rPr>
          <w:rFonts w:ascii="Times New Roman" w:hAnsi="Times New Roman" w:eastAsia="Times New Roman" w:cs="Times New Roman"/>
          <w:b/>
          <w:bCs/>
          <w:spacing w:val="3"/>
          <w:sz w:val="31"/>
          <w:szCs w:val="31"/>
        </w:rPr>
        <w:t>1.</w:t>
      </w:r>
      <w:r>
        <w:rPr>
          <w:rFonts w:ascii="FangSong_GB2312" w:hAnsi="FangSong_GB2312" w:eastAsia="FangSong_GB2312" w:cs="FangSong_GB2312"/>
          <w:b/>
          <w:bCs/>
          <w:spacing w:val="3"/>
          <w:sz w:val="31"/>
          <w:szCs w:val="31"/>
        </w:rPr>
        <w:t>永久基本农田</w:t>
      </w:r>
    </w:p>
    <w:p w14:paraId="0ACE8D22">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default" w:ascii="Times New Roman" w:hAnsi="Times New Roman" w:eastAsia="仿宋_GB2312" w:cs="Times New Roman"/>
          <w:snapToGrid/>
          <w:color w:val="auto"/>
          <w:kern w:val="2"/>
          <w:sz w:val="30"/>
          <w:szCs w:val="24"/>
          <w:highlight w:val="none"/>
          <w:lang w:val="en-US" w:eastAsia="zh-CN"/>
        </w:rPr>
        <w:t>调整后永久基本农田总面积6455.69公顷（9.68万亩），净增加97.82公顷（0.14万亩）</w:t>
      </w:r>
      <w:r>
        <w:rPr>
          <w:rFonts w:hint="eastAsia" w:ascii="Times New Roman" w:hAnsi="Times New Roman" w:eastAsia="仿宋_GB2312" w:cs="Times New Roman"/>
          <w:snapToGrid/>
          <w:color w:val="auto"/>
          <w:kern w:val="2"/>
          <w:sz w:val="30"/>
          <w:szCs w:val="24"/>
          <w:highlight w:val="none"/>
          <w:lang w:val="en-US" w:eastAsia="zh-CN"/>
        </w:rPr>
        <w:t>，</w:t>
      </w:r>
      <w:r>
        <w:rPr>
          <w:rFonts w:hint="default" w:ascii="Times New Roman" w:hAnsi="Times New Roman" w:eastAsia="仿宋_GB2312" w:cs="Times New Roman"/>
          <w:snapToGrid/>
          <w:color w:val="auto"/>
          <w:kern w:val="2"/>
          <w:sz w:val="30"/>
          <w:szCs w:val="24"/>
          <w:highlight w:val="none"/>
          <w:lang w:val="en-US" w:eastAsia="zh-CN"/>
        </w:rPr>
        <w:t>主要是由于2025年度永久基本农田年度评估调入导致</w:t>
      </w:r>
      <w:r>
        <w:rPr>
          <w:rFonts w:hint="eastAsia" w:ascii="Times New Roman" w:hAnsi="Times New Roman" w:eastAsia="仿宋_GB2312" w:cs="Times New Roman"/>
          <w:snapToGrid/>
          <w:color w:val="auto"/>
          <w:kern w:val="2"/>
          <w:sz w:val="30"/>
          <w:szCs w:val="24"/>
          <w:highlight w:val="none"/>
          <w:lang w:val="en-US" w:eastAsia="zh-CN"/>
        </w:rPr>
        <w:t>。</w:t>
      </w:r>
    </w:p>
    <w:p w14:paraId="268A10C2">
      <w:pPr>
        <w:spacing w:before="257" w:line="222" w:lineRule="auto"/>
        <w:ind w:left="662"/>
        <w:outlineLvl w:val="2"/>
        <w:rPr>
          <w:rFonts w:ascii="FangSong_GB2312" w:hAnsi="FangSong_GB2312" w:eastAsia="FangSong_GB2312" w:cs="FangSong_GB2312"/>
          <w:sz w:val="31"/>
          <w:szCs w:val="31"/>
        </w:rPr>
      </w:pPr>
      <w:r>
        <w:rPr>
          <w:rFonts w:ascii="Times New Roman" w:hAnsi="Times New Roman" w:eastAsia="Times New Roman" w:cs="Times New Roman"/>
          <w:b/>
          <w:bCs/>
          <w:spacing w:val="1"/>
          <w:sz w:val="31"/>
          <w:szCs w:val="31"/>
        </w:rPr>
        <w:t>2.</w:t>
      </w:r>
      <w:r>
        <w:rPr>
          <w:rFonts w:ascii="Times New Roman" w:hAnsi="Times New Roman" w:eastAsia="Times New Roman" w:cs="Times New Roman"/>
          <w:b/>
          <w:bCs/>
          <w:spacing w:val="-42"/>
          <w:sz w:val="31"/>
          <w:szCs w:val="31"/>
        </w:rPr>
        <w:t xml:space="preserve"> </w:t>
      </w:r>
      <w:r>
        <w:rPr>
          <w:rFonts w:ascii="FangSong_GB2312" w:hAnsi="FangSong_GB2312" w:eastAsia="FangSong_GB2312" w:cs="FangSong_GB2312"/>
          <w:b/>
          <w:bCs/>
          <w:spacing w:val="1"/>
          <w:sz w:val="31"/>
          <w:szCs w:val="31"/>
        </w:rPr>
        <w:t>生态保护红线</w:t>
      </w:r>
    </w:p>
    <w:p w14:paraId="69090A64">
      <w:pPr>
        <w:spacing w:before="249" w:line="371" w:lineRule="auto"/>
        <w:ind w:left="31" w:right="249" w:firstLine="644"/>
        <w:rPr>
          <w:rFonts w:ascii="FangSong_GB2312" w:hAnsi="FangSong_GB2312" w:eastAsia="FangSong_GB2312" w:cs="FangSong_GB2312"/>
          <w:sz w:val="31"/>
          <w:szCs w:val="31"/>
        </w:rPr>
      </w:pPr>
      <w:r>
        <w:rPr>
          <w:rFonts w:hint="default" w:ascii="Times New Roman" w:hAnsi="Times New Roman" w:eastAsia="仿宋_GB2312" w:cs="Times New Roman"/>
          <w:snapToGrid/>
          <w:color w:val="auto"/>
          <w:kern w:val="2"/>
          <w:sz w:val="30"/>
          <w:szCs w:val="24"/>
          <w:highlight w:val="none"/>
          <w:lang w:val="en-US" w:eastAsia="zh-CN"/>
        </w:rPr>
        <w:t>原生态保护红线面</w:t>
      </w:r>
      <w:r>
        <w:rPr>
          <w:rFonts w:hint="eastAsia" w:ascii="Times New Roman" w:hAnsi="Times New Roman" w:eastAsia="仿宋_GB2312" w:cs="Times New Roman"/>
          <w:snapToGrid/>
          <w:color w:val="auto"/>
          <w:kern w:val="2"/>
          <w:sz w:val="30"/>
          <w:szCs w:val="24"/>
          <w:highlight w:val="none"/>
          <w:lang w:val="en-US" w:eastAsia="zh-CN"/>
        </w:rPr>
        <w:t>积为</w:t>
      </w:r>
      <w:r>
        <w:rPr>
          <w:rFonts w:hint="default" w:ascii="Times New Roman" w:hAnsi="Times New Roman" w:eastAsia="仿宋_GB2312" w:cs="Times New Roman"/>
          <w:snapToGrid/>
          <w:color w:val="auto"/>
          <w:kern w:val="2"/>
          <w:sz w:val="30"/>
          <w:szCs w:val="24"/>
          <w:highlight w:val="none"/>
          <w:lang w:val="en-US" w:eastAsia="zh-CN"/>
        </w:rPr>
        <w:t>45.73平方公里，占国土总面积的14.78%</w:t>
      </w:r>
      <w:r>
        <w:rPr>
          <w:rFonts w:hint="eastAsia" w:ascii="Times New Roman" w:hAnsi="Times New Roman" w:eastAsia="仿宋_GB2312" w:cs="Times New Roman"/>
          <w:snapToGrid/>
          <w:color w:val="auto"/>
          <w:kern w:val="2"/>
          <w:sz w:val="30"/>
          <w:szCs w:val="24"/>
          <w:highlight w:val="none"/>
          <w:lang w:val="en-US" w:eastAsia="zh-CN"/>
        </w:rPr>
        <w:t>，金台区自然保护地不涉及优化调整，且无省级以上重点项目占用生态保护红线的情形，故本次国土空间总体规划动态维护工作，不调整生态保护红线</w:t>
      </w:r>
      <w:r>
        <w:rPr>
          <w:rFonts w:hint="default" w:ascii="Times New Roman" w:hAnsi="Times New Roman" w:eastAsia="仿宋_GB2312" w:cs="Times New Roman"/>
          <w:snapToGrid/>
          <w:color w:val="auto"/>
          <w:kern w:val="2"/>
          <w:sz w:val="30"/>
          <w:szCs w:val="24"/>
          <w:highlight w:val="none"/>
          <w:lang w:val="en-US" w:eastAsia="zh-CN"/>
        </w:rPr>
        <w:t>。</w:t>
      </w:r>
    </w:p>
    <w:p w14:paraId="05F2C92D">
      <w:pPr>
        <w:spacing w:before="2" w:line="219" w:lineRule="auto"/>
        <w:ind w:left="660"/>
        <w:outlineLvl w:val="2"/>
        <w:rPr>
          <w:rFonts w:ascii="FangSong_GB2312" w:hAnsi="FangSong_GB2312" w:eastAsia="FangSong_GB2312" w:cs="FangSong_GB2312"/>
          <w:sz w:val="31"/>
          <w:szCs w:val="31"/>
        </w:rPr>
      </w:pPr>
      <w:r>
        <w:rPr>
          <w:rFonts w:ascii="Times New Roman" w:hAnsi="Times New Roman" w:eastAsia="Times New Roman" w:cs="Times New Roman"/>
          <w:b/>
          <w:bCs/>
          <w:spacing w:val="5"/>
          <w:sz w:val="31"/>
          <w:szCs w:val="31"/>
        </w:rPr>
        <w:t>3.</w:t>
      </w:r>
      <w:r>
        <w:rPr>
          <w:rFonts w:ascii="FangSong_GB2312" w:hAnsi="FangSong_GB2312" w:eastAsia="FangSong_GB2312" w:cs="FangSong_GB2312"/>
          <w:b/>
          <w:bCs/>
          <w:spacing w:val="5"/>
          <w:sz w:val="31"/>
          <w:szCs w:val="31"/>
        </w:rPr>
        <w:t>城镇开发边界</w:t>
      </w:r>
    </w:p>
    <w:p w14:paraId="5B2E8BE7">
      <w:pPr>
        <w:pageBreakBefore w:val="0"/>
        <w:widowControl w:val="0"/>
        <w:kinsoku/>
        <w:wordWrap/>
        <w:overflowPunct w:val="0"/>
        <w:topLinePunct w:val="0"/>
        <w:autoSpaceDE/>
        <w:autoSpaceDN/>
        <w:bidi w:val="0"/>
        <w:adjustRightInd/>
        <w:snapToGrid/>
        <w:spacing w:line="600" w:lineRule="exact"/>
        <w:ind w:firstLine="600" w:firstLineChars="200"/>
        <w:jc w:val="both"/>
        <w:textAlignment w:val="auto"/>
        <w:rPr>
          <w:rFonts w:hint="default" w:ascii="Times New Roman" w:hAnsi="Times New Roman" w:eastAsia="仿宋_GB2312" w:cs="Times New Roman"/>
          <w:snapToGrid/>
          <w:color w:val="auto"/>
          <w:kern w:val="2"/>
          <w:sz w:val="30"/>
          <w:szCs w:val="24"/>
          <w:highlight w:val="none"/>
          <w:lang w:val="en-US" w:eastAsia="zh-CN"/>
        </w:rPr>
      </w:pPr>
      <w:r>
        <w:rPr>
          <w:rFonts w:hint="eastAsia" w:ascii="Times New Roman" w:hAnsi="Times New Roman" w:eastAsia="仿宋_GB2312" w:cs="Times New Roman"/>
          <w:snapToGrid/>
          <w:color w:val="auto"/>
          <w:kern w:val="2"/>
          <w:sz w:val="30"/>
          <w:szCs w:val="24"/>
          <w:highlight w:val="none"/>
          <w:lang w:val="en-US" w:eastAsia="zh-CN"/>
        </w:rPr>
        <w:t>调整后城镇开发边界总面积稳定在5945.32公顷，调整前后无变化。严格落实上位规划“总量稳定”的刚性要求，坚守城镇开发空间底线，未因局部优化突破初始划定规模。城镇开发边界扩展倍数维持1.24不变。</w:t>
      </w:r>
    </w:p>
    <w:p w14:paraId="2FDC672F">
      <w:pPr>
        <w:spacing w:before="4" w:line="221" w:lineRule="auto"/>
        <w:ind w:left="662"/>
        <w:outlineLvl w:val="2"/>
        <w:rPr>
          <w:rFonts w:ascii="FangSong_GB2312" w:hAnsi="FangSong_GB2312" w:eastAsia="FangSong_GB2312" w:cs="FangSong_GB2312"/>
          <w:sz w:val="31"/>
          <w:szCs w:val="31"/>
        </w:rPr>
      </w:pPr>
      <w:r>
        <w:rPr>
          <w:rFonts w:ascii="Times New Roman" w:hAnsi="Times New Roman" w:eastAsia="Times New Roman" w:cs="Times New Roman"/>
          <w:b/>
          <w:bCs/>
          <w:spacing w:val="5"/>
          <w:sz w:val="31"/>
          <w:szCs w:val="31"/>
        </w:rPr>
        <w:t>4.</w:t>
      </w:r>
      <w:r>
        <w:rPr>
          <w:rFonts w:hint="eastAsia" w:ascii="FangSong_GB2312" w:hAnsi="FangSong_GB2312" w:eastAsia="FangSong_GB2312" w:cs="FangSong_GB2312"/>
          <w:b/>
          <w:bCs/>
          <w:spacing w:val="5"/>
          <w:sz w:val="31"/>
          <w:szCs w:val="31"/>
          <w:lang w:val="en-US" w:eastAsia="zh-CN"/>
        </w:rPr>
        <w:t>城市</w:t>
      </w:r>
      <w:r>
        <w:rPr>
          <w:rFonts w:ascii="FangSong_GB2312" w:hAnsi="FangSong_GB2312" w:eastAsia="FangSong_GB2312" w:cs="FangSong_GB2312"/>
          <w:b/>
          <w:bCs/>
          <w:spacing w:val="5"/>
          <w:sz w:val="31"/>
          <w:szCs w:val="31"/>
        </w:rPr>
        <w:t>重要控制线</w:t>
      </w:r>
    </w:p>
    <w:p w14:paraId="4AC1E997">
      <w:pPr>
        <w:keepNext w:val="0"/>
        <w:keepLines w:val="0"/>
        <w:widowControl/>
        <w:suppressLineNumbers w:val="0"/>
        <w:autoSpaceDE/>
        <w:autoSpaceDN/>
        <w:spacing w:line="600" w:lineRule="exact"/>
        <w:ind w:firstLine="600" w:firstLineChars="200"/>
        <w:jc w:val="left"/>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本次金台区动态维护城市重要控制线调整主要涉及城市绿线、城市紫线和城市蓝线，城市黄线不涉及调整。</w:t>
      </w:r>
    </w:p>
    <w:p w14:paraId="63EEEF9B">
      <w:pPr>
        <w:pStyle w:val="11"/>
        <w:keepNext w:val="0"/>
        <w:keepLines w:val="0"/>
        <w:pageBreakBefore w:val="0"/>
        <w:widowControl w:val="0"/>
        <w:kinsoku/>
        <w:wordWrap/>
        <w:overflowPunct/>
        <w:topLinePunct w:val="0"/>
        <w:autoSpaceDE/>
        <w:autoSpaceDN/>
        <w:bidi w:val="0"/>
        <w:adjustRightInd/>
        <w:snapToGrid/>
        <w:spacing w:before="0" w:beforeLines="100" w:line="240" w:lineRule="auto"/>
        <w:ind w:firstLine="600"/>
        <w:textAlignment w:val="auto"/>
        <w:rPr>
          <w:rFonts w:hint="default" w:ascii="Times New Roman" w:hAnsi="Times New Roman" w:cs="Times New Roman"/>
          <w:snapToGrid/>
          <w:color w:val="auto"/>
          <w:kern w:val="2"/>
          <w:highlight w:val="none"/>
          <w:lang w:val="en-US" w:eastAsia="zh-CN"/>
        </w:rPr>
      </w:pPr>
      <w:r>
        <w:rPr>
          <w:rFonts w:hint="eastAsia" w:cs="Times New Roman"/>
          <w:snapToGrid/>
          <w:color w:val="auto"/>
          <w:kern w:val="2"/>
          <w:highlight w:val="none"/>
          <w:lang w:val="en-US" w:eastAsia="zh-CN"/>
        </w:rPr>
        <w:t>1</w:t>
      </w:r>
      <w:r>
        <w:rPr>
          <w:rFonts w:hint="default" w:ascii="Times New Roman" w:hAnsi="Times New Roman" w:cs="Times New Roman"/>
          <w:snapToGrid/>
          <w:color w:val="auto"/>
          <w:kern w:val="2"/>
          <w:highlight w:val="none"/>
          <w:lang w:val="en-US" w:eastAsia="zh-CN"/>
        </w:rPr>
        <w:t>）城市绿线优化调整</w:t>
      </w:r>
    </w:p>
    <w:p w14:paraId="4441691A">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本次动态维护将蟠龙文化公园纳入城市绿线管控范围</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调整后，城市绿线总规模为117.27公顷，较原规模增加8.78公顷。</w:t>
      </w:r>
    </w:p>
    <w:p w14:paraId="670952A5">
      <w:pPr>
        <w:pStyle w:val="11"/>
        <w:keepNext w:val="0"/>
        <w:keepLines w:val="0"/>
        <w:pageBreakBefore w:val="0"/>
        <w:widowControl w:val="0"/>
        <w:kinsoku/>
        <w:wordWrap/>
        <w:overflowPunct/>
        <w:topLinePunct w:val="0"/>
        <w:autoSpaceDE/>
        <w:autoSpaceDN/>
        <w:bidi w:val="0"/>
        <w:adjustRightInd/>
        <w:snapToGrid/>
        <w:spacing w:before="0" w:beforeLines="100" w:line="240" w:lineRule="auto"/>
        <w:ind w:firstLine="600"/>
        <w:textAlignment w:val="auto"/>
        <w:rPr>
          <w:rFonts w:hint="default" w:ascii="Times New Roman" w:hAnsi="Times New Roman" w:cs="Times New Roman"/>
          <w:snapToGrid/>
          <w:color w:val="auto"/>
          <w:kern w:val="2"/>
          <w:highlight w:val="none"/>
          <w:lang w:val="en-US" w:eastAsia="zh-CN"/>
        </w:rPr>
      </w:pPr>
      <w:r>
        <w:rPr>
          <w:rFonts w:hint="eastAsia" w:cs="Times New Roman"/>
          <w:snapToGrid/>
          <w:color w:val="auto"/>
          <w:kern w:val="2"/>
          <w:highlight w:val="none"/>
          <w:lang w:val="en-US" w:eastAsia="zh-CN"/>
        </w:rPr>
        <w:t>2</w:t>
      </w:r>
      <w:r>
        <w:rPr>
          <w:rFonts w:hint="default" w:ascii="Times New Roman" w:hAnsi="Times New Roman" w:cs="Times New Roman"/>
          <w:snapToGrid/>
          <w:color w:val="auto"/>
          <w:kern w:val="2"/>
          <w:highlight w:val="none"/>
          <w:lang w:val="en-US" w:eastAsia="zh-CN"/>
        </w:rPr>
        <w:t>）城市紫线优化调整</w:t>
      </w:r>
    </w:p>
    <w:p w14:paraId="217F91E5">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本次动态维护将宝鸡市长乐塬历史文化街区纳入城市紫线管控范围</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调整后城市紫线总规模为332.56公顷，较原规模增加39.28公顷</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p>
    <w:p w14:paraId="1AD1737C">
      <w:pPr>
        <w:pStyle w:val="11"/>
        <w:keepNext w:val="0"/>
        <w:keepLines w:val="0"/>
        <w:pageBreakBefore w:val="0"/>
        <w:widowControl w:val="0"/>
        <w:kinsoku/>
        <w:wordWrap/>
        <w:overflowPunct/>
        <w:topLinePunct w:val="0"/>
        <w:autoSpaceDE/>
        <w:autoSpaceDN/>
        <w:bidi w:val="0"/>
        <w:adjustRightInd/>
        <w:snapToGrid/>
        <w:spacing w:before="0" w:beforeLines="100" w:line="360" w:lineRule="auto"/>
        <w:ind w:firstLine="600"/>
        <w:textAlignment w:val="auto"/>
        <w:rPr>
          <w:rFonts w:hint="default" w:ascii="Times New Roman" w:hAnsi="Times New Roman" w:cs="Times New Roman"/>
          <w:snapToGrid/>
          <w:color w:val="auto"/>
          <w:kern w:val="2"/>
          <w:highlight w:val="none"/>
          <w:lang w:val="en-US" w:eastAsia="zh-CN"/>
        </w:rPr>
      </w:pPr>
      <w:r>
        <w:rPr>
          <w:rFonts w:hint="eastAsia" w:cs="Times New Roman"/>
          <w:snapToGrid/>
          <w:color w:val="auto"/>
          <w:kern w:val="2"/>
          <w:highlight w:val="none"/>
          <w:lang w:val="en-US" w:eastAsia="zh-CN"/>
        </w:rPr>
        <w:t>3</w:t>
      </w:r>
      <w:r>
        <w:rPr>
          <w:rFonts w:hint="default" w:ascii="Times New Roman" w:hAnsi="Times New Roman" w:cs="Times New Roman"/>
          <w:snapToGrid/>
          <w:color w:val="auto"/>
          <w:kern w:val="2"/>
          <w:highlight w:val="none"/>
          <w:lang w:val="en-US" w:eastAsia="zh-CN"/>
        </w:rPr>
        <w:t>）城市蓝线优化调整</w:t>
      </w:r>
    </w:p>
    <w:p w14:paraId="434A3035">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调整后总规模为884.92公顷，减少99.51公顷</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主要涉及金陵河。调整后优化城市水环境与空间布局，防洪排涝及水系安全能力得到进一步巩固与提升，强化了水系的综合功能。</w:t>
      </w:r>
    </w:p>
    <w:p w14:paraId="5BF7E2D8">
      <w:pPr>
        <w:spacing w:before="164" w:line="228" w:lineRule="auto"/>
        <w:ind w:left="659"/>
        <w:outlineLvl w:val="1"/>
        <w:rPr>
          <w:rFonts w:ascii="KaiTi_GB2312" w:hAnsi="KaiTi_GB2312" w:eastAsia="KaiTi_GB2312" w:cs="KaiTi_GB2312"/>
          <w:sz w:val="31"/>
          <w:szCs w:val="31"/>
        </w:rPr>
      </w:pPr>
      <w:r>
        <w:rPr>
          <w:rFonts w:hint="default" w:ascii="Times New Roman" w:hAnsi="Times New Roman" w:eastAsia="仿宋_GB2312" w:cs="Times New Roman"/>
          <w:b/>
          <w:snapToGrid w:val="0"/>
          <w:color w:val="auto"/>
          <w:kern w:val="44"/>
          <w:sz w:val="30"/>
          <w:szCs w:val="21"/>
          <w:highlight w:val="none"/>
          <w:lang w:val="en-US" w:eastAsia="zh-CN" w:bidi="ar-SA"/>
        </w:rPr>
        <w:t>（二）合理优化规划分区</w:t>
      </w:r>
    </w:p>
    <w:p w14:paraId="73601E98">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本次调整以耕地和永久基本农田、生态保护红线、城镇开发边界三条控制线的正向优化成果为根本遵循，按照</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空间协同、功能匹配、底线坚守</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原则，同步优化六大规划分区的范围与布局。优化后，</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生态保护区331.23公顷；生态控制区2136.11公顷；农田保护区3178.16公顷；城镇发展区7070.00公顷；村庄建设区249.82公顷；一般农业区2211.85公顷。</w:t>
      </w:r>
    </w:p>
    <w:p w14:paraId="4AA3CA3E">
      <w:pPr>
        <w:spacing w:line="219" w:lineRule="auto"/>
        <w:ind w:left="659"/>
        <w:outlineLvl w:val="1"/>
        <w:rPr>
          <w:rFonts w:hint="default"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（三）中心城区功能布局维护</w:t>
      </w:r>
    </w:p>
    <w:p w14:paraId="7CFFFEEB">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按照国土空间总体规划明确的发展定位和城镇空间格局，优化城市功能布局和空间结构，推动城镇空间高效利用。联动城镇开发边界布局调整进行优化，重点聚焦保障产业发展、完善公共服务、强化基础支撑等方面，正向优化中心城区用地布局。</w:t>
      </w:r>
    </w:p>
    <w:p w14:paraId="504AE821">
      <w:pPr>
        <w:spacing w:line="222" w:lineRule="auto"/>
        <w:ind w:left="659"/>
        <w:outlineLvl w:val="1"/>
        <w:rPr>
          <w:rFonts w:hint="eastAsia"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（四）</w:t>
      </w:r>
      <w:r>
        <w:rPr>
          <w:rFonts w:hint="eastAsia" w:ascii="Times New Roman" w:hAnsi="Times New Roman" w:eastAsia="仿宋_GB2312" w:cs="Times New Roman"/>
          <w:b/>
          <w:snapToGrid w:val="0"/>
          <w:color w:val="auto"/>
          <w:kern w:val="44"/>
          <w:sz w:val="30"/>
          <w:szCs w:val="21"/>
          <w:highlight w:val="none"/>
          <w:lang w:val="en-US" w:eastAsia="zh-CN" w:bidi="ar-SA"/>
        </w:rPr>
        <w:t>其他重要控制线</w:t>
      </w:r>
    </w:p>
    <w:p w14:paraId="7044C16E">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本次动态维护不对</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其他重要控制线</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进行调整。</w:t>
      </w:r>
    </w:p>
    <w:p w14:paraId="20557A5E">
      <w:pPr>
        <w:spacing w:before="258" w:line="218" w:lineRule="auto"/>
        <w:ind w:left="659"/>
        <w:outlineLvl w:val="1"/>
        <w:rPr>
          <w:rFonts w:hint="default" w:ascii="Times New Roman" w:hAnsi="Times New Roman" w:eastAsia="仿宋_GB2312" w:cs="Times New Roman"/>
          <w:b/>
          <w:snapToGrid w:val="0"/>
          <w:color w:val="auto"/>
          <w:kern w:val="44"/>
          <w:sz w:val="30"/>
          <w:szCs w:val="21"/>
          <w:highlight w:val="none"/>
          <w:lang w:val="en-US" w:eastAsia="zh-CN" w:bidi="ar-SA"/>
        </w:rPr>
      </w:pPr>
      <w:r>
        <w:rPr>
          <w:rFonts w:hint="default" w:ascii="Times New Roman" w:hAnsi="Times New Roman" w:eastAsia="仿宋_GB2312" w:cs="Times New Roman"/>
          <w:b/>
          <w:snapToGrid w:val="0"/>
          <w:color w:val="auto"/>
          <w:kern w:val="44"/>
          <w:sz w:val="30"/>
          <w:szCs w:val="21"/>
          <w:highlight w:val="none"/>
          <w:lang w:val="en-US" w:eastAsia="zh-CN" w:bidi="ar-SA"/>
        </w:rPr>
        <w:t>（五）重点建设项目清单维护</w:t>
      </w:r>
    </w:p>
    <w:p w14:paraId="6B4718B0">
      <w:pPr>
        <w:widowControl/>
        <w:autoSpaceDE/>
        <w:autoSpaceDN/>
        <w:spacing w:line="600" w:lineRule="exact"/>
        <w:ind w:firstLine="600" w:firstLineChars="200"/>
        <w:jc w:val="both"/>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立足金台区发展战略，衔接“十五五”规划及各专项规划部署，保障“十五五”重大项目用地需求。重点聚焦交通、水利、能源资源、信息通信、公益性殡葬服务、综合防灾减灾等重要领域，采取“精准落位+示意上图+增补清单”相结合的管控方式，为重点项目提供空间保障，确保重点项目应保尽保、高效落地、有序实施。</w:t>
      </w:r>
    </w:p>
    <w:p w14:paraId="1887159E">
      <w:pPr>
        <w:spacing w:before="253" w:line="228" w:lineRule="auto"/>
        <w:ind w:left="752"/>
        <w:outlineLvl w:val="0"/>
        <w:rPr>
          <w:rFonts w:hint="default" w:ascii="Times New Roman" w:hAnsi="Times New Roman" w:eastAsia="黑体" w:cs="Times New Roman"/>
          <w:b w:val="0"/>
          <w:bCs/>
          <w:snapToGrid/>
          <w:color w:val="auto"/>
          <w:kern w:val="44"/>
          <w:sz w:val="32"/>
          <w:szCs w:val="40"/>
          <w:highlight w:val="none"/>
          <w:lang w:val="en-US" w:eastAsia="zh-CN" w:bidi="ar-SA"/>
        </w:rPr>
      </w:pPr>
      <w:r>
        <w:rPr>
          <w:rFonts w:hint="default" w:ascii="Times New Roman" w:hAnsi="Times New Roman" w:eastAsia="黑体" w:cs="Times New Roman"/>
          <w:b w:val="0"/>
          <w:bCs/>
          <w:snapToGrid/>
          <w:color w:val="auto"/>
          <w:kern w:val="44"/>
          <w:sz w:val="32"/>
          <w:szCs w:val="40"/>
          <w:highlight w:val="none"/>
          <w:lang w:val="en-US" w:eastAsia="zh-CN" w:bidi="ar-SA"/>
        </w:rPr>
        <w:t>三 、 附图</w:t>
      </w:r>
    </w:p>
    <w:p w14:paraId="3EFEC1C6">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1. 三条控制线维护前图</w:t>
      </w:r>
    </w:p>
    <w:p w14:paraId="528B248B">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2. 三条控制线维护后图</w:t>
      </w:r>
    </w:p>
    <w:p w14:paraId="3975F2B5">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3.永久基本农田维护后图</w:t>
      </w:r>
    </w:p>
    <w:p w14:paraId="65B06865">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4.城镇开发边界维护后图</w:t>
      </w:r>
    </w:p>
    <w:p w14:paraId="63FC57FB">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5. 国土空间用途分区规划图（维护前）</w:t>
      </w:r>
    </w:p>
    <w:p w14:paraId="0A2A7792">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6. 国土空间用途分区规划图（维护后）</w:t>
      </w:r>
    </w:p>
    <w:p w14:paraId="0DFA4E83">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7. 中心城区用地用海规划布局图（维护前）</w:t>
      </w:r>
    </w:p>
    <w:p w14:paraId="4A834DBE">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8. 中心城区用地用海规划布局图（维护后）</w:t>
      </w:r>
    </w:p>
    <w:p w14:paraId="4FA8D246">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9</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 xml:space="preserve">. </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中心城区控制线规划图</w:t>
      </w:r>
    </w:p>
    <w:p w14:paraId="17822781">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10</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 xml:space="preserve">. </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中心城区国土空间用途分区规划图（维护前）</w:t>
      </w:r>
    </w:p>
    <w:p w14:paraId="240C7E09">
      <w:pPr>
        <w:widowControl/>
        <w:autoSpaceDE/>
        <w:autoSpaceDN/>
        <w:spacing w:line="600" w:lineRule="exact"/>
        <w:ind w:firstLine="600" w:firstLineChars="200"/>
        <w:jc w:val="both"/>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11</w:t>
      </w:r>
      <w:r>
        <w:rPr>
          <w:rFonts w:hint="default"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 xml:space="preserve">. </w:t>
      </w: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中心城区国土空间用途分区规划图（维护后）</w:t>
      </w:r>
    </w:p>
    <w:p w14:paraId="10A40261">
      <w:pPr>
        <w:widowControl/>
        <w:autoSpaceDE/>
        <w:autoSpaceDN/>
        <w:spacing w:line="600" w:lineRule="exact"/>
        <w:ind w:firstLine="600" w:firstLineChars="200"/>
        <w:jc w:val="both"/>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p>
    <w:p w14:paraId="60878C43">
      <w:pPr>
        <w:widowControl/>
        <w:autoSpaceDE/>
        <w:autoSpaceDN/>
        <w:spacing w:line="600" w:lineRule="exact"/>
        <w:ind w:firstLine="600" w:firstLineChars="200"/>
        <w:jc w:val="both"/>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30"/>
          <w:szCs w:val="36"/>
          <w:highlight w:val="none"/>
          <w:lang w:val="en-US" w:eastAsia="zh-CN"/>
          <w14:textFill>
            <w14:solidFill>
              <w14:schemeClr w14:val="tx1"/>
            </w14:solidFill>
          </w14:textFill>
        </w:rPr>
        <w:t>注：本动态维护方案内容以批复后成果为准。</w:t>
      </w:r>
    </w:p>
    <w:p w14:paraId="36ADEDF7">
      <w:pPr>
        <w:spacing w:before="256" w:line="219" w:lineRule="auto"/>
        <w:ind w:left="674"/>
        <w:rPr>
          <w:rFonts w:ascii="FangSong_GB2312" w:hAnsi="FangSong_GB2312" w:eastAsia="FangSong_GB2312" w:cs="FangSong_GB2312"/>
          <w:spacing w:val="5"/>
          <w:sz w:val="31"/>
          <w:szCs w:val="31"/>
        </w:rPr>
      </w:pPr>
    </w:p>
    <w:p w14:paraId="45A06238">
      <w:pPr>
        <w:spacing w:line="219" w:lineRule="auto"/>
        <w:rPr>
          <w:rFonts w:ascii="FangSong_GB2312" w:hAnsi="FangSong_GB2312" w:eastAsia="FangSong_GB2312" w:cs="FangSong_GB2312"/>
          <w:sz w:val="31"/>
          <w:szCs w:val="31"/>
        </w:rPr>
        <w:sectPr>
          <w:pgSz w:w="11906" w:h="16839"/>
          <w:pgMar w:top="1701" w:right="1417" w:bottom="1531" w:left="1701" w:header="0" w:footer="0" w:gutter="0"/>
          <w:cols w:space="0" w:num="1"/>
          <w:rtlGutter w:val="0"/>
          <w:docGrid w:linePitch="0" w:charSpace="0"/>
        </w:sectPr>
      </w:pPr>
    </w:p>
    <w:p w14:paraId="46FCE2CE">
      <w:pPr>
        <w:spacing w:line="240" w:lineRule="auto"/>
        <w:ind w:firstLine="14"/>
        <w:rPr>
          <w:rFonts w:hint="eastAsia" w:eastAsia="宋体"/>
          <w:lang w:eastAsia="zh-CN"/>
        </w:rPr>
      </w:pPr>
      <w:r>
        <w:rPr>
          <w:rFonts w:hint="eastAsia" w:eastAsia="宋体"/>
          <w:lang w:eastAsia="zh-CN"/>
        </w:rPr>
        <w:drawing>
          <wp:inline distT="0" distB="0" distL="114300" distR="114300">
            <wp:extent cx="7875905" cy="5572760"/>
            <wp:effectExtent l="0" t="0" r="10795" b="8890"/>
            <wp:docPr id="35" name="图片 35" descr="01三条控制线维护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1三条控制线维护前图"/>
                    <pic:cNvPicPr>
                      <a:picLocks noChangeAspect="1"/>
                    </pic:cNvPicPr>
                  </pic:nvPicPr>
                  <pic:blipFill>
                    <a:blip r:embed="rId6"/>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45" name="图片 45" descr="02三条控制线维护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2三条控制线维护后图"/>
                    <pic:cNvPicPr>
                      <a:picLocks noChangeAspect="1"/>
                    </pic:cNvPicPr>
                  </pic:nvPicPr>
                  <pic:blipFill>
                    <a:blip r:embed="rId7"/>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4635" cy="5572125"/>
            <wp:effectExtent l="0" t="0" r="12065" b="9525"/>
            <wp:docPr id="44" name="图片 44" descr="03永久基本农田维护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3永久基本农田维护后图"/>
                    <pic:cNvPicPr>
                      <a:picLocks noChangeAspect="1"/>
                    </pic:cNvPicPr>
                  </pic:nvPicPr>
                  <pic:blipFill>
                    <a:blip r:embed="rId8"/>
                    <a:stretch>
                      <a:fillRect/>
                    </a:stretch>
                  </pic:blipFill>
                  <pic:spPr>
                    <a:xfrm>
                      <a:off x="0" y="0"/>
                      <a:ext cx="7874635" cy="5572125"/>
                    </a:xfrm>
                    <a:prstGeom prst="rect">
                      <a:avLst/>
                    </a:prstGeom>
                  </pic:spPr>
                </pic:pic>
              </a:graphicData>
            </a:graphic>
          </wp:inline>
        </w:drawing>
      </w:r>
      <w:r>
        <w:rPr>
          <w:rFonts w:hint="eastAsia" w:eastAsia="宋体"/>
          <w:lang w:eastAsia="zh-CN"/>
        </w:rPr>
        <w:drawing>
          <wp:inline distT="0" distB="0" distL="114300" distR="114300">
            <wp:extent cx="7874635" cy="5572125"/>
            <wp:effectExtent l="0" t="0" r="12065" b="9525"/>
            <wp:docPr id="43" name="图片 43" descr="04城镇开发边界维护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4城镇开发边界维护后图"/>
                    <pic:cNvPicPr>
                      <a:picLocks noChangeAspect="1"/>
                    </pic:cNvPicPr>
                  </pic:nvPicPr>
                  <pic:blipFill>
                    <a:blip r:embed="rId9"/>
                    <a:stretch>
                      <a:fillRect/>
                    </a:stretch>
                  </pic:blipFill>
                  <pic:spPr>
                    <a:xfrm>
                      <a:off x="0" y="0"/>
                      <a:ext cx="7874635" cy="5572125"/>
                    </a:xfrm>
                    <a:prstGeom prst="rect">
                      <a:avLst/>
                    </a:prstGeom>
                  </pic:spPr>
                </pic:pic>
              </a:graphicData>
            </a:graphic>
          </wp:inline>
        </w:drawing>
      </w:r>
      <w:r>
        <w:rPr>
          <w:rFonts w:hint="eastAsia" w:eastAsia="宋体"/>
          <w:lang w:eastAsia="zh-CN"/>
        </w:rPr>
        <w:drawing>
          <wp:inline distT="0" distB="0" distL="114300" distR="114300">
            <wp:extent cx="7874635" cy="5572125"/>
            <wp:effectExtent l="0" t="0" r="12065" b="9525"/>
            <wp:docPr id="42" name="图片 42" descr="05国土空间用途分区规划图（维护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5国土空间用途分区规划图（维护前）"/>
                    <pic:cNvPicPr>
                      <a:picLocks noChangeAspect="1"/>
                    </pic:cNvPicPr>
                  </pic:nvPicPr>
                  <pic:blipFill>
                    <a:blip r:embed="rId10"/>
                    <a:stretch>
                      <a:fillRect/>
                    </a:stretch>
                  </pic:blipFill>
                  <pic:spPr>
                    <a:xfrm>
                      <a:off x="0" y="0"/>
                      <a:ext cx="7874635" cy="5572125"/>
                    </a:xfrm>
                    <a:prstGeom prst="rect">
                      <a:avLst/>
                    </a:prstGeom>
                  </pic:spPr>
                </pic:pic>
              </a:graphicData>
            </a:graphic>
          </wp:inline>
        </w:drawing>
      </w:r>
      <w:r>
        <w:rPr>
          <w:rFonts w:hint="eastAsia" w:eastAsia="宋体"/>
          <w:lang w:eastAsia="zh-CN"/>
        </w:rPr>
        <w:drawing>
          <wp:inline distT="0" distB="0" distL="114300" distR="114300">
            <wp:extent cx="7874635" cy="5572125"/>
            <wp:effectExtent l="0" t="0" r="12065" b="9525"/>
            <wp:docPr id="41" name="图片 41" descr="06国土空间用途分区规划图（维护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06国土空间用途分区规划图（维护后）"/>
                    <pic:cNvPicPr>
                      <a:picLocks noChangeAspect="1"/>
                    </pic:cNvPicPr>
                  </pic:nvPicPr>
                  <pic:blipFill>
                    <a:blip r:embed="rId11"/>
                    <a:stretch>
                      <a:fillRect/>
                    </a:stretch>
                  </pic:blipFill>
                  <pic:spPr>
                    <a:xfrm>
                      <a:off x="0" y="0"/>
                      <a:ext cx="7874635" cy="5572125"/>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40" name="图片 40" descr="07中心城区用地用海规划布局图（维护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7中心城区用地用海规划布局图（维护前）"/>
                    <pic:cNvPicPr>
                      <a:picLocks noChangeAspect="1"/>
                    </pic:cNvPicPr>
                  </pic:nvPicPr>
                  <pic:blipFill>
                    <a:blip r:embed="rId12"/>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39" name="图片 39" descr="08中心城区用地用海规划布局图（维护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8中心城区用地用海规划布局图（维护后）"/>
                    <pic:cNvPicPr>
                      <a:picLocks noChangeAspect="1"/>
                    </pic:cNvPicPr>
                  </pic:nvPicPr>
                  <pic:blipFill>
                    <a:blip r:embed="rId13"/>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38" name="图片 38" descr="09中心城区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中心城区控制线规划图"/>
                    <pic:cNvPicPr>
                      <a:picLocks noChangeAspect="1"/>
                    </pic:cNvPicPr>
                  </pic:nvPicPr>
                  <pic:blipFill>
                    <a:blip r:embed="rId14"/>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37" name="图片 37" descr="10中心城区国土空间用途分区规划图（维护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0中心城区国土空间用途分区规划图（维护前）"/>
                    <pic:cNvPicPr>
                      <a:picLocks noChangeAspect="1"/>
                    </pic:cNvPicPr>
                  </pic:nvPicPr>
                  <pic:blipFill>
                    <a:blip r:embed="rId15"/>
                    <a:stretch>
                      <a:fillRect/>
                    </a:stretch>
                  </pic:blipFill>
                  <pic:spPr>
                    <a:xfrm>
                      <a:off x="0" y="0"/>
                      <a:ext cx="7875905" cy="5572760"/>
                    </a:xfrm>
                    <a:prstGeom prst="rect">
                      <a:avLst/>
                    </a:prstGeom>
                  </pic:spPr>
                </pic:pic>
              </a:graphicData>
            </a:graphic>
          </wp:inline>
        </w:drawing>
      </w:r>
      <w:r>
        <w:rPr>
          <w:rFonts w:hint="eastAsia" w:eastAsia="宋体"/>
          <w:lang w:eastAsia="zh-CN"/>
        </w:rPr>
        <w:drawing>
          <wp:inline distT="0" distB="0" distL="114300" distR="114300">
            <wp:extent cx="7875905" cy="5572760"/>
            <wp:effectExtent l="0" t="0" r="10795" b="8890"/>
            <wp:docPr id="36" name="图片 36" descr="11中心城区国土空间用途分区规划图（维护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中心城区国土空间用途分区规划图（维护后）"/>
                    <pic:cNvPicPr>
                      <a:picLocks noChangeAspect="1"/>
                    </pic:cNvPicPr>
                  </pic:nvPicPr>
                  <pic:blipFill>
                    <a:blip r:embed="rId16"/>
                    <a:stretch>
                      <a:fillRect/>
                    </a:stretch>
                  </pic:blipFill>
                  <pic:spPr>
                    <a:xfrm>
                      <a:off x="0" y="0"/>
                      <a:ext cx="7875905" cy="5572760"/>
                    </a:xfrm>
                    <a:prstGeom prst="rect">
                      <a:avLst/>
                    </a:prstGeom>
                  </pic:spPr>
                </pic:pic>
              </a:graphicData>
            </a:graphic>
          </wp:inline>
        </w:drawing>
      </w:r>
    </w:p>
    <w:sectPr>
      <w:pgSz w:w="16839" w:h="11906" w:orient="landscape"/>
      <w:pgMar w:top="1701" w:right="1701" w:bottom="1417" w:left="1531" w:header="0" w:footer="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KaiTi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0D4ADF"/>
    <w:multiLevelType w:val="multilevel"/>
    <w:tmpl w:val="BB0D4ADF"/>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1">
    <w:nsid w:val="1D7D7273"/>
    <w:multiLevelType w:val="multilevel"/>
    <w:tmpl w:val="1D7D7273"/>
    <w:lvl w:ilvl="0" w:tentative="0">
      <w:start w:val="1"/>
      <w:numFmt w:val="decimal"/>
      <w:pStyle w:val="4"/>
      <w:lvlText w:val="第%1条"/>
      <w:lvlJc w:val="left"/>
      <w:pPr>
        <w:ind w:left="1684" w:hanging="9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FA2136"/>
    <w:rsid w:val="37B87580"/>
    <w:rsid w:val="418141C2"/>
    <w:rsid w:val="50734E6C"/>
    <w:rsid w:val="513121CC"/>
    <w:rsid w:val="62832252"/>
    <w:rsid w:val="783F7D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autoSpaceDE/>
      <w:autoSpaceDN/>
      <w:spacing w:before="100" w:beforeLines="100" w:after="50" w:afterLines="50" w:line="600" w:lineRule="exact"/>
      <w:ind w:firstLine="0" w:firstLineChars="0"/>
      <w:jc w:val="center"/>
      <w:outlineLvl w:val="0"/>
    </w:pPr>
    <w:rPr>
      <w:rFonts w:ascii="Times New Roman" w:hAnsi="Times New Roman" w:eastAsia="黑体"/>
      <w:b/>
      <w:kern w:val="44"/>
    </w:rPr>
  </w:style>
  <w:style w:type="paragraph" w:styleId="3">
    <w:name w:val="heading 2"/>
    <w:basedOn w:val="2"/>
    <w:next w:val="4"/>
    <w:unhideWhenUsed/>
    <w:qFormat/>
    <w:uiPriority w:val="9"/>
    <w:pPr>
      <w:widowControl w:val="0"/>
      <w:adjustRightInd w:val="0"/>
      <w:snapToGrid w:val="0"/>
      <w:spacing w:before="50" w:beforeLines="50" w:after="20" w:afterLines="20"/>
      <w:outlineLvl w:val="1"/>
    </w:pPr>
    <w:rPr>
      <w:rFonts w:eastAsia="仿宋_GB2312"/>
    </w:rPr>
  </w:style>
  <w:style w:type="paragraph" w:styleId="4">
    <w:name w:val="heading 3"/>
    <w:basedOn w:val="3"/>
    <w:next w:val="5"/>
    <w:unhideWhenUsed/>
    <w:qFormat/>
    <w:uiPriority w:val="0"/>
    <w:pPr>
      <w:numPr>
        <w:ilvl w:val="0"/>
        <w:numId w:val="1"/>
      </w:numPr>
      <w:spacing w:line="560" w:lineRule="exact"/>
      <w:ind w:left="0" w:firstLine="0"/>
      <w:jc w:val="left"/>
      <w:outlineLvl w:val="2"/>
    </w:pPr>
    <w:rPr>
      <w:rFonts w:ascii="Arial" w:hAnsi="Arial" w:cs="Arial"/>
      <w:bCs/>
    </w:rPr>
  </w:style>
  <w:style w:type="paragraph" w:styleId="5">
    <w:name w:val="heading 4"/>
    <w:basedOn w:val="4"/>
    <w:next w:val="6"/>
    <w:unhideWhenUsed/>
    <w:qFormat/>
    <w:uiPriority w:val="0"/>
    <w:pPr>
      <w:spacing w:before="280" w:after="290" w:line="376" w:lineRule="auto"/>
      <w:outlineLvl w:val="3"/>
    </w:pPr>
    <w:rPr>
      <w:rFonts w:asciiTheme="majorHAnsi" w:hAnsiTheme="majorHAnsi" w:eastAsiaTheme="majorEastAsia" w:cstheme="majorBidi"/>
      <w:szCs w:val="28"/>
    </w:rPr>
  </w:style>
  <w:style w:type="paragraph" w:styleId="6">
    <w:name w:val="heading 5"/>
    <w:basedOn w:val="5"/>
    <w:next w:val="1"/>
    <w:semiHidden/>
    <w:unhideWhenUsed/>
    <w:qFormat/>
    <w:uiPriority w:val="0"/>
    <w:pPr>
      <w:numPr>
        <w:ilvl w:val="4"/>
        <w:numId w:val="2"/>
      </w:numPr>
      <w:spacing w:line="372" w:lineRule="auto"/>
      <w:ind w:firstLine="0"/>
      <w:outlineLvl w:val="4"/>
    </w:pPr>
    <w:rPr>
      <w:rFonts w:ascii="Calibri" w:hAnsi="Calibri" w:eastAsia="黑体" w:cs="Times New Roman"/>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7">
    <w:name w:val="Body Text"/>
    <w:basedOn w:val="1"/>
    <w:semiHidden/>
    <w:qFormat/>
    <w:uiPriority w:val="0"/>
    <w:rPr>
      <w:rFonts w:ascii="Arial" w:hAnsi="Arial" w:eastAsia="Arial" w:cs="Arial"/>
      <w:sz w:val="21"/>
      <w:szCs w:val="21"/>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标题4"/>
    <w:qFormat/>
    <w:uiPriority w:val="0"/>
    <w:pPr>
      <w:kinsoku w:val="0"/>
      <w:autoSpaceDE/>
      <w:autoSpaceDN/>
      <w:adjustRightInd w:val="0"/>
      <w:snapToGrid w:val="0"/>
      <w:spacing w:line="240" w:lineRule="auto"/>
      <w:ind w:firstLine="1360" w:firstLineChars="200"/>
      <w:jc w:val="left"/>
      <w:textAlignment w:val="baseline"/>
      <w:outlineLvl w:val="3"/>
    </w:pPr>
    <w:rPr>
      <w:rFonts w:ascii="Times New Roman" w:hAnsi="Times New Roman" w:eastAsia="仿宋_GB2312" w:cs="Arial"/>
      <w:snapToGrid w:val="0"/>
      <w:color w:val="000000"/>
      <w:kern w:val="0"/>
      <w:sz w:val="3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2055</Words>
  <Characters>2195</Characters>
  <TotalTime>6</TotalTime>
  <ScaleCrop>false</ScaleCrop>
  <LinksUpToDate>false</LinksUpToDate>
  <CharactersWithSpaces>2214</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2026-06-10T14:33:00Z</dcterms:created>
  <dc:creator>想飞的鱼</dc:creator>
  <cp:lastModifiedBy>Pamper</cp:lastModifiedBy>
  <dcterms:modified xsi:type="dcterms:W3CDTF">2026-06-11T01:38:54Z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2026-06-10T17:49:31Z</vt:filetime>
  </property>
  <property fmtid="{D5CDD505-2E9C-101B-9397-08002B2CF9AE}" pid="4" name="KSOTemplateDocerSaveRecord">
    <vt:lpwstr>eyJoZGlkIjoiOTYwOTc2NDBjMDIwM2MwOTA5ZDlhZWM1MzhhNTI5ZjYiLCJ1c2VySWQiOiI3NDU1MjA3NjAifQ==</vt:lpwstr>
  </property>
  <property fmtid="{D5CDD505-2E9C-101B-9397-08002B2CF9AE}" pid="5" name="KSOProductBuildVer">
    <vt:lpwstr>2052-12.1.0.26895</vt:lpwstr>
  </property>
  <property fmtid="{D5CDD505-2E9C-101B-9397-08002B2CF9AE}" pid="6" name="ICV">
    <vt:lpwstr>8F20836F0BCB44638D6CBFC61EA108DA_13</vt:lpwstr>
  </property>
</Properties>
</file>