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3AB667">
      <w:pPr>
        <w:pStyle w:val="23"/>
        <w:spacing w:before="0" w:after="0"/>
        <w:rPr>
          <w:b/>
          <w:bCs/>
          <w:color w:val="auto"/>
          <w:sz w:val="44"/>
          <w:szCs w:val="44"/>
          <w:lang w:val="en-US" w:eastAsia="zh-CN"/>
        </w:rPr>
      </w:pPr>
    </w:p>
    <w:p w14:paraId="328FE657">
      <w:pPr>
        <w:pStyle w:val="23"/>
        <w:spacing w:before="0" w:after="0"/>
        <w:jc w:val="left"/>
        <w:rPr>
          <w:b/>
          <w:bCs/>
          <w:color w:val="auto"/>
          <w:sz w:val="44"/>
          <w:szCs w:val="44"/>
          <w:lang w:val="en-US" w:eastAsia="zh-CN"/>
        </w:rPr>
      </w:pPr>
    </w:p>
    <w:p w14:paraId="541F74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kern w:val="2"/>
          <w:sz w:val="52"/>
          <w:szCs w:val="52"/>
          <w:lang w:val="en-US" w:eastAsia="zh-CN" w:bidi="ar-SA"/>
        </w:rPr>
      </w:pPr>
      <w:r>
        <w:rPr>
          <w:rFonts w:hint="eastAsia" w:ascii="黑体" w:hAnsi="黑体" w:eastAsia="黑体" w:cs="黑体"/>
          <w:b/>
          <w:bCs/>
          <w:kern w:val="2"/>
          <w:sz w:val="52"/>
          <w:szCs w:val="52"/>
          <w:lang w:val="en-US" w:eastAsia="zh-CN" w:bidi="ar-SA"/>
        </w:rPr>
        <w:t>宝鸡蟠龙高新区控制性详细规划编制</w:t>
      </w:r>
    </w:p>
    <w:p w14:paraId="7C1B1A3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kern w:val="2"/>
          <w:sz w:val="52"/>
          <w:szCs w:val="52"/>
          <w:lang w:val="en-US" w:eastAsia="zh-CN" w:bidi="ar-SA"/>
        </w:rPr>
      </w:pPr>
      <w:r>
        <w:rPr>
          <w:rFonts w:hint="eastAsia" w:ascii="黑体" w:hAnsi="黑体" w:eastAsia="黑体" w:cs="黑体"/>
          <w:b/>
          <w:bCs/>
          <w:kern w:val="2"/>
          <w:sz w:val="52"/>
          <w:szCs w:val="52"/>
          <w:lang w:val="en-US" w:eastAsia="zh-CN" w:bidi="ar-SA"/>
        </w:rPr>
        <w:t>资金申请项目预算评审报告</w:t>
      </w:r>
    </w:p>
    <w:p w14:paraId="47996C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kern w:val="2"/>
          <w:sz w:val="52"/>
          <w:szCs w:val="52"/>
          <w:lang w:val="en-US" w:eastAsia="zh-CN" w:bidi="ar-SA"/>
        </w:rPr>
      </w:pPr>
    </w:p>
    <w:p w14:paraId="2DABC688">
      <w:pPr>
        <w:jc w:val="center"/>
        <w:rPr>
          <w:rFonts w:ascii="黑体" w:hAnsi="黑体" w:eastAsia="黑体" w:cs="Times New Roman"/>
          <w:b/>
          <w:color w:val="000000"/>
          <w:kern w:val="0"/>
          <w:sz w:val="30"/>
          <w:szCs w:val="30"/>
        </w:rPr>
      </w:pPr>
    </w:p>
    <w:p w14:paraId="3E492BC1">
      <w:pPr>
        <w:pStyle w:val="5"/>
        <w:rPr>
          <w:rFonts w:ascii="宋体" w:hAnsi="宋体" w:eastAsia="宋体" w:cs="宋体"/>
          <w:color w:val="auto"/>
          <w:lang w:eastAsia="zh-CN"/>
        </w:rPr>
      </w:pPr>
    </w:p>
    <w:p w14:paraId="7C83B865">
      <w:pPr>
        <w:pStyle w:val="25"/>
        <w:spacing w:line="360" w:lineRule="auto"/>
        <w:ind w:firstLine="1205" w:firstLineChars="400"/>
        <w:rPr>
          <w:b/>
          <w:bCs/>
          <w:color w:val="auto"/>
        </w:rPr>
      </w:pPr>
    </w:p>
    <w:p w14:paraId="1DD7DB58">
      <w:pPr>
        <w:pStyle w:val="25"/>
        <w:spacing w:line="360" w:lineRule="auto"/>
        <w:ind w:left="0" w:leftChars="0" w:firstLine="0" w:firstLineChars="0"/>
        <w:rPr>
          <w:b/>
          <w:bCs/>
          <w:color w:val="auto"/>
        </w:rPr>
      </w:pPr>
    </w:p>
    <w:p w14:paraId="224868CB">
      <w:pPr>
        <w:pStyle w:val="25"/>
        <w:spacing w:line="360" w:lineRule="auto"/>
        <w:ind w:firstLine="1205" w:firstLineChars="400"/>
        <w:rPr>
          <w:b/>
          <w:bCs/>
          <w:color w:val="auto"/>
        </w:rPr>
      </w:pPr>
    </w:p>
    <w:p w14:paraId="76FB6273">
      <w:pPr>
        <w:pStyle w:val="25"/>
        <w:spacing w:line="360" w:lineRule="auto"/>
        <w:ind w:firstLine="1205" w:firstLineChars="400"/>
        <w:rPr>
          <w:b/>
          <w:bCs/>
          <w:color w:val="auto"/>
        </w:rPr>
      </w:pPr>
    </w:p>
    <w:p w14:paraId="559575A8">
      <w:pPr>
        <w:pStyle w:val="25"/>
        <w:spacing w:line="360" w:lineRule="auto"/>
        <w:ind w:firstLine="1124" w:firstLineChars="400"/>
        <w:rPr>
          <w:b/>
          <w:bCs/>
          <w:color w:val="auto"/>
          <w:sz w:val="28"/>
          <w:szCs w:val="28"/>
        </w:rPr>
      </w:pPr>
    </w:p>
    <w:p w14:paraId="3B0295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b/>
          <w:bCs/>
          <w:color w:val="auto"/>
          <w:sz w:val="32"/>
          <w:szCs w:val="32"/>
        </w:rPr>
      </w:pPr>
    </w:p>
    <w:p w14:paraId="3AE68A52">
      <w:pPr>
        <w:keepNext w:val="0"/>
        <w:keepLines w:val="0"/>
        <w:pageBreakBefore w:val="0"/>
        <w:widowControl w:val="0"/>
        <w:kinsoku/>
        <w:wordWrap/>
        <w:overflowPunct/>
        <w:topLinePunct w:val="0"/>
        <w:autoSpaceDE/>
        <w:autoSpaceDN/>
        <w:bidi w:val="0"/>
        <w:adjustRightInd/>
        <w:snapToGrid/>
        <w:spacing w:line="360" w:lineRule="auto"/>
        <w:ind w:firstLine="960" w:firstLineChars="300"/>
        <w:jc w:val="both"/>
        <w:textAlignment w:val="auto"/>
        <w:rPr>
          <w:rFonts w:hint="default"/>
          <w:color w:val="auto"/>
          <w:sz w:val="32"/>
          <w:szCs w:val="32"/>
          <w:lang w:val="en-US" w:eastAsia="zh-CN"/>
        </w:rPr>
      </w:pPr>
    </w:p>
    <w:p w14:paraId="7719AE5D">
      <w:pPr>
        <w:pStyle w:val="25"/>
        <w:spacing w:line="360" w:lineRule="auto"/>
        <w:ind w:firstLine="2764" w:firstLineChars="864"/>
        <w:jc w:val="left"/>
        <w:rPr>
          <w:rFonts w:hint="eastAsia"/>
          <w:b w:val="0"/>
          <w:bCs w:val="0"/>
          <w:color w:val="auto"/>
          <w:sz w:val="32"/>
          <w:szCs w:val="32"/>
          <w:lang w:val="en-US" w:eastAsia="zh-CN"/>
        </w:rPr>
      </w:pPr>
    </w:p>
    <w:p w14:paraId="4335A7CB">
      <w:pPr>
        <w:pStyle w:val="25"/>
        <w:spacing w:line="360" w:lineRule="auto"/>
        <w:ind w:firstLine="2764" w:firstLineChars="864"/>
        <w:jc w:val="left"/>
        <w:rPr>
          <w:rFonts w:hint="eastAsia"/>
          <w:b w:val="0"/>
          <w:bCs w:val="0"/>
          <w:color w:val="auto"/>
          <w:sz w:val="32"/>
          <w:szCs w:val="32"/>
          <w:lang w:val="en-US" w:eastAsia="zh-CN"/>
        </w:rPr>
      </w:pPr>
    </w:p>
    <w:p w14:paraId="4857AC2C">
      <w:pPr>
        <w:pStyle w:val="25"/>
        <w:spacing w:line="360" w:lineRule="auto"/>
        <w:ind w:firstLine="2764" w:firstLineChars="864"/>
        <w:jc w:val="left"/>
        <w:rPr>
          <w:rFonts w:hint="default"/>
          <w:b w:val="0"/>
          <w:bCs w:val="0"/>
          <w:color w:val="auto"/>
          <w:sz w:val="32"/>
          <w:szCs w:val="32"/>
          <w:lang w:val="en-US" w:eastAsia="zh-CN"/>
        </w:rPr>
      </w:pPr>
      <w:r>
        <w:rPr>
          <w:rFonts w:hint="eastAsia"/>
          <w:b w:val="0"/>
          <w:bCs w:val="0"/>
          <w:color w:val="auto"/>
          <w:sz w:val="32"/>
          <w:szCs w:val="32"/>
          <w:lang w:val="en-US" w:eastAsia="zh-CN"/>
        </w:rPr>
        <w:t>宝鸡市金台区财政局</w:t>
      </w:r>
    </w:p>
    <w:p w14:paraId="464B1262">
      <w:pPr>
        <w:pStyle w:val="25"/>
        <w:spacing w:line="360" w:lineRule="auto"/>
        <w:ind w:left="0" w:leftChars="0" w:firstLine="3200" w:firstLineChars="1000"/>
        <w:jc w:val="left"/>
        <w:rPr>
          <w:color w:val="auto"/>
          <w:sz w:val="32"/>
          <w:szCs w:val="32"/>
          <w:lang w:val="en-US" w:eastAsia="zh-CN"/>
        </w:rPr>
      </w:pPr>
      <w:r>
        <w:rPr>
          <w:rFonts w:hint="eastAsia"/>
          <w:color w:val="auto"/>
          <w:sz w:val="32"/>
          <w:szCs w:val="32"/>
          <w:lang w:val="en-US" w:eastAsia="zh-CN"/>
        </w:rPr>
        <w:t>2024年8月6日</w:t>
      </w:r>
    </w:p>
    <w:p w14:paraId="22BEFBB4">
      <w:pPr>
        <w:pStyle w:val="25"/>
        <w:spacing w:line="480" w:lineRule="auto"/>
        <w:ind w:left="1200" w:leftChars="500" w:firstLine="0"/>
        <w:jc w:val="left"/>
        <w:rPr>
          <w:color w:val="auto"/>
          <w:sz w:val="32"/>
          <w:szCs w:val="32"/>
          <w:lang w:val="en-US" w:eastAsia="zh-CN"/>
        </w:rPr>
        <w:sectPr>
          <w:footerReference r:id="rId4" w:type="first"/>
          <w:footerReference r:id="rId3" w:type="default"/>
          <w:pgSz w:w="11906" w:h="16838"/>
          <w:pgMar w:top="1440" w:right="1587" w:bottom="1440" w:left="1701" w:header="851" w:footer="992" w:gutter="0"/>
          <w:pgBorders>
            <w:top w:val="none" w:sz="0" w:space="0"/>
            <w:left w:val="none" w:sz="0" w:space="0"/>
            <w:bottom w:val="none" w:sz="0" w:space="0"/>
            <w:right w:val="none" w:sz="0" w:space="0"/>
          </w:pgBorders>
          <w:pgNumType w:start="1"/>
          <w:cols w:space="0" w:num="1"/>
          <w:titlePg/>
          <w:docGrid w:type="lines" w:linePitch="331" w:charSpace="0"/>
        </w:sectPr>
      </w:pPr>
      <w:bookmarkStart w:id="0" w:name="bookmark3"/>
    </w:p>
    <w:p w14:paraId="69B33001">
      <w:pPr>
        <w:pStyle w:val="23"/>
        <w:spacing w:before="0" w:after="0" w:line="560" w:lineRule="exact"/>
        <w:ind w:left="1758" w:leftChars="366" w:hanging="880" w:hangingChars="200"/>
        <w:jc w:val="both"/>
        <w:rPr>
          <w:rFonts w:hint="eastAsia" w:ascii="方正小标宋简体" w:hAnsi="方正小标宋简体" w:eastAsia="方正小标宋简体" w:cs="方正小标宋简体"/>
          <w:b w:val="0"/>
          <w:bCs/>
          <w:kern w:val="2"/>
          <w:sz w:val="44"/>
          <w:szCs w:val="44"/>
          <w:highlight w:val="none"/>
          <w:lang w:val="en-US" w:eastAsia="zh-CN" w:bidi="ar-SA"/>
        </w:rPr>
      </w:pPr>
      <w:r>
        <w:rPr>
          <w:rFonts w:hint="eastAsia" w:ascii="方正小标宋简体" w:hAnsi="方正小标宋简体" w:eastAsia="方正小标宋简体" w:cs="方正小标宋简体"/>
          <w:b w:val="0"/>
          <w:bCs/>
          <w:kern w:val="2"/>
          <w:sz w:val="44"/>
          <w:szCs w:val="44"/>
          <w:highlight w:val="none"/>
          <w:lang w:val="en-US" w:eastAsia="zh-CN" w:bidi="ar-SA"/>
        </w:rPr>
        <w:t>宝鸡蟠龙高新区控制性详细规划编制</w:t>
      </w:r>
    </w:p>
    <w:p w14:paraId="7CE4806E">
      <w:pPr>
        <w:pStyle w:val="23"/>
        <w:spacing w:before="0" w:after="0" w:line="560" w:lineRule="exact"/>
        <w:ind w:firstLine="1760" w:firstLineChars="400"/>
        <w:jc w:val="both"/>
        <w:rPr>
          <w:rFonts w:hint="eastAsia" w:ascii="方正小标宋简体" w:hAnsi="方正小标宋简体" w:eastAsia="方正小标宋简体" w:cs="方正小标宋简体"/>
          <w:b w:val="0"/>
          <w:bCs/>
          <w:kern w:val="2"/>
          <w:sz w:val="44"/>
          <w:szCs w:val="44"/>
          <w:highlight w:val="none"/>
          <w:lang w:val="en-US" w:eastAsia="zh-CN" w:bidi="ar-SA"/>
        </w:rPr>
      </w:pPr>
      <w:r>
        <w:rPr>
          <w:rFonts w:hint="eastAsia" w:ascii="方正小标宋简体" w:hAnsi="方正小标宋简体" w:eastAsia="方正小标宋简体" w:cs="方正小标宋简体"/>
          <w:b w:val="0"/>
          <w:bCs/>
          <w:kern w:val="2"/>
          <w:sz w:val="44"/>
          <w:szCs w:val="44"/>
          <w:highlight w:val="none"/>
          <w:lang w:val="en-US" w:eastAsia="zh-CN" w:bidi="ar-SA"/>
        </w:rPr>
        <w:t>资金申请项目预算评审报告</w:t>
      </w:r>
    </w:p>
    <w:p w14:paraId="2CB030A0">
      <w:pPr>
        <w:pStyle w:val="25"/>
        <w:spacing w:line="560" w:lineRule="exact"/>
        <w:ind w:firstLine="0"/>
        <w:jc w:val="both"/>
        <w:rPr>
          <w:rFonts w:ascii="仿宋" w:hAnsi="仿宋" w:eastAsia="仿宋" w:cs="仿宋"/>
          <w:color w:val="auto"/>
          <w:sz w:val="32"/>
          <w:szCs w:val="32"/>
        </w:rPr>
      </w:pPr>
    </w:p>
    <w:p w14:paraId="0348D8C7">
      <w:pPr>
        <w:spacing w:line="560" w:lineRule="exact"/>
        <w:ind w:firstLine="640" w:firstLineChars="200"/>
        <w:jc w:val="both"/>
        <w:rPr>
          <w:rFonts w:ascii="仿宋" w:hAnsi="仿宋" w:eastAsia="仿宋" w:cs="仿宋"/>
          <w:color w:val="auto"/>
          <w:sz w:val="32"/>
          <w:szCs w:val="32"/>
          <w:lang w:eastAsia="zh-CN"/>
        </w:rPr>
      </w:pPr>
      <w:r>
        <w:rPr>
          <w:rFonts w:hint="eastAsia" w:ascii="仿宋" w:hAnsi="仿宋" w:eastAsia="仿宋" w:cs="仿宋"/>
          <w:color w:val="auto"/>
          <w:sz w:val="32"/>
          <w:szCs w:val="32"/>
          <w:lang w:eastAsia="zh-CN"/>
        </w:rPr>
        <w:t>根据《中华人民共和国预算法》《财政支出绩效评价管理暂行办法》《项目支出绩效评价管理办法》等</w:t>
      </w:r>
      <w:r>
        <w:rPr>
          <w:rFonts w:hint="eastAsia" w:ascii="仿宋" w:hAnsi="仿宋" w:eastAsia="仿宋" w:cs="仿宋"/>
          <w:color w:val="auto"/>
          <w:sz w:val="32"/>
          <w:szCs w:val="32"/>
          <w:lang w:val="en-US" w:eastAsia="zh-CN"/>
        </w:rPr>
        <w:t>相关</w:t>
      </w:r>
      <w:r>
        <w:rPr>
          <w:rFonts w:hint="eastAsia" w:ascii="仿宋" w:hAnsi="仿宋" w:eastAsia="仿宋" w:cs="仿宋"/>
          <w:color w:val="auto"/>
          <w:sz w:val="32"/>
          <w:szCs w:val="32"/>
          <w:lang w:eastAsia="zh-CN"/>
        </w:rPr>
        <w:t>文件。遵循“科学性、规范性、客观性、公正性”的原则，对宝鸡</w:t>
      </w:r>
      <w:r>
        <w:rPr>
          <w:rFonts w:hint="eastAsia" w:ascii="仿宋" w:hAnsi="仿宋" w:eastAsia="仿宋" w:cs="仿宋"/>
          <w:color w:val="auto"/>
          <w:sz w:val="32"/>
          <w:szCs w:val="32"/>
          <w:lang w:val="en-US" w:eastAsia="zh-CN"/>
        </w:rPr>
        <w:t>蟠龙高新</w:t>
      </w:r>
      <w:r>
        <w:rPr>
          <w:rFonts w:hint="eastAsia" w:ascii="仿宋" w:hAnsi="仿宋" w:eastAsia="仿宋" w:cs="仿宋"/>
          <w:color w:val="auto"/>
          <w:sz w:val="32"/>
          <w:szCs w:val="32"/>
          <w:lang w:eastAsia="zh-CN"/>
        </w:rPr>
        <w:t>区控制性详细规划</w:t>
      </w:r>
      <w:r>
        <w:rPr>
          <w:rFonts w:hint="eastAsia" w:ascii="仿宋" w:hAnsi="仿宋" w:eastAsia="仿宋" w:cs="仿宋"/>
          <w:color w:val="auto"/>
          <w:sz w:val="32"/>
          <w:szCs w:val="32"/>
          <w:lang w:val="en-US" w:eastAsia="zh-CN"/>
        </w:rPr>
        <w:t>编制资金申请项目</w:t>
      </w:r>
      <w:r>
        <w:rPr>
          <w:rFonts w:hint="eastAsia" w:ascii="仿宋" w:hAnsi="仿宋" w:eastAsia="仿宋" w:cs="仿宋"/>
          <w:color w:val="auto"/>
          <w:sz w:val="32"/>
          <w:szCs w:val="32"/>
          <w:lang w:eastAsia="zh-CN"/>
        </w:rPr>
        <w:t>开展了预算评审。现将评审情况报告如下。</w:t>
      </w:r>
    </w:p>
    <w:p w14:paraId="5C319F27">
      <w:pPr>
        <w:pStyle w:val="25"/>
        <w:keepNext w:val="0"/>
        <w:keepLines w:val="0"/>
        <w:pageBreakBefore w:val="0"/>
        <w:widowControl w:val="0"/>
        <w:tabs>
          <w:tab w:val="left" w:pos="776"/>
        </w:tabs>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rPr>
        <w:t>一</w:t>
      </w:r>
      <w:bookmarkEnd w:id="0"/>
      <w:r>
        <w:rPr>
          <w:rFonts w:hint="eastAsia" w:ascii="黑体" w:hAnsi="黑体" w:eastAsia="黑体" w:cs="黑体"/>
          <w:b w:val="0"/>
          <w:bCs w:val="0"/>
          <w:color w:val="auto"/>
          <w:sz w:val="32"/>
          <w:szCs w:val="32"/>
        </w:rPr>
        <w:t>、</w:t>
      </w:r>
      <w:r>
        <w:rPr>
          <w:rFonts w:hint="eastAsia" w:ascii="黑体" w:hAnsi="黑体" w:eastAsia="黑体" w:cs="黑体"/>
          <w:b w:val="0"/>
          <w:bCs w:val="0"/>
          <w:color w:val="auto"/>
          <w:sz w:val="32"/>
          <w:szCs w:val="32"/>
          <w:lang w:val="en-US" w:eastAsia="zh-CN"/>
        </w:rPr>
        <w:t>项目基本情况</w:t>
      </w:r>
    </w:p>
    <w:p w14:paraId="33BB215C">
      <w:pPr>
        <w:pStyle w:val="25"/>
        <w:spacing w:line="560" w:lineRule="exact"/>
        <w:ind w:firstLine="643" w:firstLineChars="200"/>
        <w:jc w:val="both"/>
        <w:rPr>
          <w:rFonts w:hint="eastAsia" w:ascii="仿宋" w:hAnsi="仿宋" w:eastAsia="仿宋" w:cs="仿宋"/>
          <w:color w:val="auto"/>
          <w:sz w:val="32"/>
          <w:szCs w:val="32"/>
          <w:lang w:val="en-US" w:eastAsia="zh-CN"/>
        </w:rPr>
      </w:pPr>
      <w:bookmarkStart w:id="1" w:name="bookmark4"/>
      <w:r>
        <w:rPr>
          <w:rFonts w:hint="eastAsia" w:ascii="仿宋" w:hAnsi="仿宋" w:eastAsia="仿宋" w:cs="仿宋"/>
          <w:b/>
          <w:bCs/>
          <w:color w:val="auto"/>
          <w:sz w:val="32"/>
          <w:szCs w:val="32"/>
          <w:lang w:val="en-US" w:eastAsia="zh-CN"/>
        </w:rPr>
        <w:t>（一）项目名称：</w:t>
      </w:r>
      <w:r>
        <w:rPr>
          <w:rFonts w:hint="eastAsia" w:ascii="仿宋" w:hAnsi="仿宋" w:eastAsia="仿宋" w:cs="仿宋"/>
          <w:color w:val="auto"/>
          <w:sz w:val="32"/>
          <w:szCs w:val="32"/>
          <w:lang w:val="en-US" w:eastAsia="zh-CN"/>
        </w:rPr>
        <w:t>宝鸡蟠龙高新区控制性详细规划</w:t>
      </w:r>
    </w:p>
    <w:p w14:paraId="49077C70">
      <w:pPr>
        <w:pStyle w:val="25"/>
        <w:spacing w:line="560" w:lineRule="exact"/>
        <w:ind w:left="0" w:leftChars="0" w:firstLine="3200" w:firstLineChars="10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编制资金申请项目</w:t>
      </w:r>
    </w:p>
    <w:p w14:paraId="2AD214C3">
      <w:pPr>
        <w:pStyle w:val="25"/>
        <w:spacing w:line="560" w:lineRule="exact"/>
        <w:ind w:firstLine="643" w:firstLineChars="200"/>
        <w:jc w:val="both"/>
        <w:rPr>
          <w:rFonts w:hint="default" w:ascii="仿宋" w:hAnsi="仿宋" w:eastAsia="仿宋" w:cs="仿宋"/>
          <w:b w:val="0"/>
          <w:bCs w:val="0"/>
          <w:color w:val="auto"/>
          <w:sz w:val="32"/>
          <w:szCs w:val="32"/>
          <w:lang w:val="en-US" w:eastAsia="zh-CN"/>
        </w:rPr>
      </w:pPr>
      <w:r>
        <w:rPr>
          <w:rFonts w:hint="eastAsia" w:ascii="仿宋" w:hAnsi="仿宋" w:eastAsia="仿宋" w:cs="仿宋"/>
          <w:b/>
          <w:bCs/>
          <w:color w:val="auto"/>
          <w:sz w:val="32"/>
          <w:szCs w:val="32"/>
          <w:lang w:val="en-US" w:eastAsia="zh-CN"/>
        </w:rPr>
        <w:t>（二）主管部门：</w:t>
      </w:r>
      <w:r>
        <w:rPr>
          <w:rFonts w:hint="eastAsia" w:ascii="仿宋" w:hAnsi="仿宋" w:eastAsia="仿宋" w:cs="仿宋"/>
          <w:b w:val="0"/>
          <w:bCs w:val="0"/>
          <w:color w:val="auto"/>
          <w:sz w:val="32"/>
          <w:szCs w:val="32"/>
          <w:lang w:val="en-US" w:eastAsia="zh-CN"/>
        </w:rPr>
        <w:t>金台区人民政府</w:t>
      </w:r>
    </w:p>
    <w:p w14:paraId="43936EFF">
      <w:pPr>
        <w:pStyle w:val="25"/>
        <w:spacing w:line="560" w:lineRule="exact"/>
        <w:ind w:firstLine="643" w:firstLineChars="200"/>
        <w:jc w:val="both"/>
        <w:rPr>
          <w:rFonts w:hint="default"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（三）项目单位：</w:t>
      </w:r>
      <w:r>
        <w:rPr>
          <w:rFonts w:hint="eastAsia" w:ascii="仿宋" w:hAnsi="仿宋" w:eastAsia="仿宋" w:cs="仿宋"/>
          <w:color w:val="auto"/>
          <w:sz w:val="32"/>
          <w:szCs w:val="32"/>
          <w:lang w:val="en-US" w:eastAsia="zh-CN"/>
        </w:rPr>
        <w:t>宝鸡蟠龙高新区管委会</w:t>
      </w:r>
    </w:p>
    <w:p w14:paraId="2F2F508F">
      <w:pPr>
        <w:pStyle w:val="25"/>
        <w:spacing w:line="560" w:lineRule="exact"/>
        <w:ind w:firstLine="643" w:firstLineChars="200"/>
        <w:jc w:val="both"/>
        <w:rPr>
          <w:rFonts w:hint="default"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（四）项目概况：</w:t>
      </w:r>
      <w:r>
        <w:rPr>
          <w:rFonts w:hint="eastAsia" w:ascii="仿宋" w:hAnsi="仿宋" w:eastAsia="仿宋" w:cs="仿宋"/>
          <w:color w:val="auto"/>
          <w:sz w:val="32"/>
          <w:szCs w:val="32"/>
          <w:lang w:val="en-US" w:eastAsia="zh-CN"/>
        </w:rPr>
        <w:t>项目主要内容为：1.总体规划编制；2.控制性详细规划编制，主要对管控的区域编制控制性详细规划，编制内容包括单元控规、地块控规；3.包括数据库录入和图则工作；4.编制成果报批审查，监督分解编制任务的落实情况，对编制的各阶段成果进行审查，组织规划市级报批备案。具体以宝鸡市自然资源和规划局颁发的《控规编制方案》要求为准。</w:t>
      </w:r>
    </w:p>
    <w:p w14:paraId="1A5FBCDF">
      <w:pPr>
        <w:pStyle w:val="25"/>
        <w:spacing w:line="560" w:lineRule="exact"/>
        <w:ind w:firstLine="643" w:firstLineChars="200"/>
        <w:jc w:val="both"/>
        <w:rPr>
          <w:rFonts w:hint="default" w:ascii="仿宋" w:hAnsi="仿宋" w:eastAsia="仿宋" w:cs="仿宋"/>
          <w:color w:val="auto"/>
          <w:sz w:val="32"/>
          <w:szCs w:val="32"/>
          <w:lang w:val="en-US" w:eastAsia="zh-CN"/>
        </w:rPr>
      </w:pPr>
      <w:r>
        <w:rPr>
          <w:rFonts w:hint="eastAsia" w:ascii="仿宋" w:hAnsi="仿宋" w:eastAsia="仿宋" w:cs="仿宋"/>
          <w:b/>
          <w:bCs/>
          <w:color w:val="auto"/>
          <w:sz w:val="32"/>
          <w:szCs w:val="32"/>
          <w:lang w:eastAsia="zh-CN"/>
        </w:rPr>
        <w:t>（</w:t>
      </w:r>
      <w:r>
        <w:rPr>
          <w:rFonts w:hint="eastAsia" w:ascii="仿宋" w:hAnsi="仿宋" w:eastAsia="仿宋" w:cs="仿宋"/>
          <w:b/>
          <w:bCs/>
          <w:color w:val="auto"/>
          <w:sz w:val="32"/>
          <w:szCs w:val="32"/>
          <w:lang w:val="en-US" w:eastAsia="zh-CN"/>
        </w:rPr>
        <w:t>五</w:t>
      </w:r>
      <w:r>
        <w:rPr>
          <w:rFonts w:hint="eastAsia" w:ascii="仿宋" w:hAnsi="仿宋" w:eastAsia="仿宋" w:cs="仿宋"/>
          <w:b/>
          <w:bCs/>
          <w:color w:val="auto"/>
          <w:sz w:val="32"/>
          <w:szCs w:val="32"/>
          <w:lang w:eastAsia="zh-CN"/>
        </w:rPr>
        <w:t>）</w:t>
      </w:r>
      <w:r>
        <w:rPr>
          <w:rFonts w:hint="eastAsia" w:ascii="仿宋" w:hAnsi="仿宋" w:eastAsia="仿宋" w:cs="仿宋"/>
          <w:b/>
          <w:bCs/>
          <w:color w:val="auto"/>
          <w:sz w:val="32"/>
          <w:szCs w:val="32"/>
          <w:lang w:val="en-US" w:eastAsia="zh-CN"/>
        </w:rPr>
        <w:t>申请预算资金总额</w:t>
      </w:r>
      <w:r>
        <w:rPr>
          <w:rFonts w:hint="eastAsia" w:ascii="仿宋" w:hAnsi="仿宋" w:eastAsia="仿宋" w:cs="仿宋"/>
          <w:color w:val="auto"/>
          <w:sz w:val="32"/>
          <w:szCs w:val="32"/>
          <w:lang w:val="en-US" w:eastAsia="zh-CN"/>
        </w:rPr>
        <w:t>：400万元。</w:t>
      </w:r>
    </w:p>
    <w:p w14:paraId="1FD608BC">
      <w:pPr>
        <w:pStyle w:val="25"/>
        <w:spacing w:line="560" w:lineRule="exact"/>
        <w:ind w:firstLine="643" w:firstLineChars="200"/>
        <w:jc w:val="both"/>
        <w:rPr>
          <w:rFonts w:ascii="仿宋" w:hAnsi="仿宋" w:eastAsia="仿宋" w:cs="仿宋"/>
          <w:color w:val="auto"/>
          <w:sz w:val="32"/>
          <w:szCs w:val="32"/>
          <w:lang w:val="en-US" w:eastAsia="zh-CN"/>
        </w:rPr>
      </w:pPr>
      <w:r>
        <w:rPr>
          <w:rFonts w:hint="eastAsia" w:ascii="仿宋" w:hAnsi="仿宋" w:eastAsia="仿宋" w:cs="仿宋"/>
          <w:b/>
          <w:bCs/>
          <w:color w:val="auto"/>
          <w:sz w:val="32"/>
          <w:szCs w:val="32"/>
          <w:lang w:eastAsia="zh-CN"/>
        </w:rPr>
        <w:t>（</w:t>
      </w:r>
      <w:r>
        <w:rPr>
          <w:rFonts w:hint="eastAsia" w:ascii="仿宋" w:hAnsi="仿宋" w:eastAsia="仿宋" w:cs="仿宋"/>
          <w:b/>
          <w:bCs/>
          <w:color w:val="auto"/>
          <w:sz w:val="32"/>
          <w:szCs w:val="32"/>
          <w:lang w:val="en-US" w:eastAsia="zh-CN"/>
        </w:rPr>
        <w:t>六</w:t>
      </w:r>
      <w:r>
        <w:rPr>
          <w:rFonts w:hint="eastAsia" w:ascii="仿宋" w:hAnsi="仿宋" w:eastAsia="仿宋" w:cs="仿宋"/>
          <w:b/>
          <w:bCs/>
          <w:color w:val="auto"/>
          <w:sz w:val="32"/>
          <w:szCs w:val="32"/>
          <w:lang w:eastAsia="zh-CN"/>
        </w:rPr>
        <w:t>）</w:t>
      </w:r>
      <w:r>
        <w:rPr>
          <w:rFonts w:hint="eastAsia" w:ascii="仿宋" w:hAnsi="仿宋" w:eastAsia="仿宋" w:cs="仿宋"/>
          <w:b/>
          <w:bCs/>
          <w:color w:val="auto"/>
          <w:sz w:val="32"/>
          <w:szCs w:val="32"/>
          <w:lang w:val="en-US" w:eastAsia="zh-CN"/>
        </w:rPr>
        <w:t>项目资金来源：</w:t>
      </w:r>
      <w:r>
        <w:rPr>
          <w:rFonts w:hint="eastAsia" w:ascii="仿宋" w:hAnsi="仿宋" w:eastAsia="仿宋" w:cs="仿宋"/>
          <w:color w:val="auto"/>
          <w:sz w:val="32"/>
          <w:szCs w:val="32"/>
          <w:lang w:val="en-US" w:eastAsia="zh-CN"/>
        </w:rPr>
        <w:t>申请区级财政拨款。</w:t>
      </w:r>
    </w:p>
    <w:p w14:paraId="3741118A">
      <w:pPr>
        <w:pStyle w:val="25"/>
        <w:spacing w:line="560" w:lineRule="exact"/>
        <w:ind w:firstLine="643" w:firstLineChars="200"/>
        <w:jc w:val="both"/>
        <w:rPr>
          <w:rFonts w:ascii="仿宋" w:hAnsi="仿宋" w:eastAsia="仿宋" w:cs="仿宋"/>
          <w:b/>
          <w:bCs/>
          <w:color w:val="auto"/>
          <w:sz w:val="32"/>
          <w:szCs w:val="32"/>
        </w:rPr>
      </w:pPr>
      <w:r>
        <w:rPr>
          <w:rFonts w:hint="eastAsia" w:ascii="仿宋" w:hAnsi="仿宋" w:eastAsia="仿宋" w:cs="仿宋"/>
          <w:b/>
          <w:bCs/>
          <w:color w:val="auto"/>
          <w:sz w:val="32"/>
          <w:szCs w:val="32"/>
          <w:lang w:val="en-US" w:eastAsia="zh-CN"/>
        </w:rPr>
        <w:t>（七）主要</w:t>
      </w:r>
      <w:r>
        <w:rPr>
          <w:rFonts w:hint="eastAsia" w:ascii="仿宋" w:hAnsi="仿宋" w:eastAsia="仿宋" w:cs="仿宋"/>
          <w:b/>
          <w:bCs/>
          <w:color w:val="auto"/>
          <w:sz w:val="32"/>
          <w:szCs w:val="32"/>
        </w:rPr>
        <w:t>绩效目标</w:t>
      </w:r>
      <w:r>
        <w:rPr>
          <w:rFonts w:hint="eastAsia" w:ascii="仿宋" w:hAnsi="仿宋" w:eastAsia="仿宋" w:cs="仿宋"/>
          <w:b/>
          <w:bCs/>
          <w:color w:val="auto"/>
          <w:sz w:val="32"/>
          <w:szCs w:val="32"/>
          <w:lang w:eastAsia="zh-CN"/>
        </w:rPr>
        <w:t>：</w:t>
      </w:r>
      <w:r>
        <w:rPr>
          <w:rFonts w:hint="eastAsia" w:ascii="仿宋" w:hAnsi="仿宋" w:eastAsia="仿宋" w:cs="仿宋"/>
          <w:color w:val="auto"/>
          <w:sz w:val="32"/>
          <w:szCs w:val="32"/>
          <w:lang w:eastAsia="zh-CN"/>
        </w:rPr>
        <w:t>确保按照市</w:t>
      </w:r>
      <w:r>
        <w:rPr>
          <w:rFonts w:hint="eastAsia" w:ascii="仿宋" w:hAnsi="仿宋" w:eastAsia="仿宋" w:cs="仿宋"/>
          <w:color w:val="auto"/>
          <w:sz w:val="32"/>
          <w:szCs w:val="32"/>
          <w:lang w:val="en-US" w:eastAsia="zh-CN"/>
        </w:rPr>
        <w:t>自然资源和规划局的</w:t>
      </w:r>
      <w:r>
        <w:rPr>
          <w:rFonts w:hint="eastAsia" w:ascii="仿宋" w:hAnsi="仿宋" w:eastAsia="仿宋" w:cs="仿宋"/>
          <w:color w:val="auto"/>
          <w:sz w:val="32"/>
          <w:szCs w:val="32"/>
          <w:lang w:eastAsia="zh-CN"/>
        </w:rPr>
        <w:t>工作安排，按时高质量完成</w:t>
      </w:r>
      <w:r>
        <w:rPr>
          <w:rFonts w:hint="eastAsia" w:ascii="仿宋" w:hAnsi="仿宋" w:eastAsia="仿宋" w:cs="仿宋"/>
          <w:color w:val="auto"/>
          <w:sz w:val="32"/>
          <w:szCs w:val="32"/>
          <w:lang w:val="en-US" w:eastAsia="zh-CN"/>
        </w:rPr>
        <w:t>蟠龙高新</w:t>
      </w:r>
      <w:r>
        <w:rPr>
          <w:rFonts w:hint="eastAsia" w:ascii="仿宋" w:hAnsi="仿宋" w:eastAsia="仿宋" w:cs="仿宋"/>
          <w:color w:val="auto"/>
          <w:sz w:val="32"/>
          <w:szCs w:val="32"/>
          <w:lang w:eastAsia="zh-CN"/>
        </w:rPr>
        <w:t>区控制性详细规划编制任务。</w:t>
      </w:r>
      <w:r>
        <w:rPr>
          <w:rFonts w:hint="eastAsia" w:ascii="仿宋" w:hAnsi="仿宋" w:eastAsia="仿宋" w:cs="仿宋"/>
          <w:b/>
          <w:bCs/>
          <w:color w:val="auto"/>
          <w:sz w:val="32"/>
          <w:szCs w:val="32"/>
        </w:rPr>
        <w:t xml:space="preserve"> </w:t>
      </w:r>
    </w:p>
    <w:p w14:paraId="500663BE">
      <w:pPr>
        <w:pStyle w:val="25"/>
        <w:keepNext w:val="0"/>
        <w:keepLines w:val="0"/>
        <w:pageBreakBefore w:val="0"/>
        <w:widowControl w:val="0"/>
        <w:tabs>
          <w:tab w:val="left" w:pos="776"/>
        </w:tabs>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二</w:t>
      </w:r>
      <w:bookmarkEnd w:id="1"/>
      <w:r>
        <w:rPr>
          <w:rFonts w:hint="eastAsia" w:ascii="黑体" w:hAnsi="黑体" w:eastAsia="黑体" w:cs="黑体"/>
          <w:b w:val="0"/>
          <w:bCs w:val="0"/>
          <w:color w:val="auto"/>
          <w:sz w:val="32"/>
          <w:szCs w:val="32"/>
        </w:rPr>
        <w:t>、评</w:t>
      </w:r>
      <w:r>
        <w:rPr>
          <w:rFonts w:hint="eastAsia" w:ascii="黑体" w:hAnsi="黑体" w:eastAsia="黑体" w:cs="黑体"/>
          <w:b w:val="0"/>
          <w:bCs w:val="0"/>
          <w:color w:val="auto"/>
          <w:sz w:val="32"/>
          <w:szCs w:val="32"/>
          <w:lang w:val="en-US" w:eastAsia="zh-CN"/>
        </w:rPr>
        <w:t>审（评估）</w:t>
      </w:r>
      <w:r>
        <w:rPr>
          <w:rFonts w:hint="eastAsia" w:ascii="黑体" w:hAnsi="黑体" w:eastAsia="黑体" w:cs="黑体"/>
          <w:b w:val="0"/>
          <w:bCs w:val="0"/>
          <w:color w:val="auto"/>
          <w:sz w:val="32"/>
          <w:szCs w:val="32"/>
        </w:rPr>
        <w:t>方式和方法</w:t>
      </w:r>
    </w:p>
    <w:p w14:paraId="57F99623">
      <w:pPr>
        <w:pStyle w:val="25"/>
        <w:keepNext w:val="0"/>
        <w:keepLines w:val="0"/>
        <w:pageBreakBefore w:val="0"/>
        <w:widowControl w:val="0"/>
        <w:tabs>
          <w:tab w:val="left" w:pos="1295"/>
        </w:tabs>
        <w:kinsoku/>
        <w:wordWrap/>
        <w:overflowPunct/>
        <w:topLinePunct w:val="0"/>
        <w:autoSpaceDE/>
        <w:autoSpaceDN/>
        <w:bidi w:val="0"/>
        <w:adjustRightInd/>
        <w:snapToGrid/>
        <w:spacing w:line="560" w:lineRule="exact"/>
        <w:jc w:val="both"/>
        <w:textAlignment w:val="auto"/>
        <w:rPr>
          <w:rFonts w:hint="eastAsia" w:ascii="楷体_GB2312" w:hAnsi="楷体_GB2312" w:eastAsia="楷体_GB2312" w:cs="楷体_GB2312"/>
          <w:b/>
          <w:bCs/>
          <w:color w:val="auto"/>
          <w:sz w:val="32"/>
          <w:szCs w:val="32"/>
        </w:rPr>
      </w:pPr>
      <w:bookmarkStart w:id="2" w:name="bookmark5"/>
      <w:r>
        <w:rPr>
          <w:rFonts w:hint="eastAsia" w:ascii="楷体_GB2312" w:hAnsi="楷体_GB2312" w:eastAsia="楷体_GB2312" w:cs="楷体_GB2312"/>
          <w:b/>
          <w:bCs/>
          <w:color w:val="auto"/>
          <w:sz w:val="32"/>
          <w:szCs w:val="32"/>
        </w:rPr>
        <w:t>（</w:t>
      </w:r>
      <w:bookmarkEnd w:id="2"/>
      <w:r>
        <w:rPr>
          <w:rFonts w:hint="eastAsia" w:ascii="楷体_GB2312" w:hAnsi="楷体_GB2312" w:eastAsia="楷体_GB2312" w:cs="楷体_GB2312"/>
          <w:b/>
          <w:bCs/>
          <w:color w:val="auto"/>
          <w:sz w:val="32"/>
          <w:szCs w:val="32"/>
        </w:rPr>
        <w:t>一）</w:t>
      </w:r>
      <w:r>
        <w:rPr>
          <w:rFonts w:hint="eastAsia" w:ascii="楷体_GB2312" w:hAnsi="楷体_GB2312" w:eastAsia="楷体_GB2312" w:cs="楷体_GB2312"/>
          <w:b/>
          <w:bCs/>
          <w:color w:val="auto"/>
          <w:sz w:val="32"/>
          <w:szCs w:val="32"/>
          <w:lang w:eastAsia="zh-CN"/>
        </w:rPr>
        <w:t>评审</w:t>
      </w:r>
      <w:r>
        <w:rPr>
          <w:rFonts w:hint="eastAsia" w:ascii="黑体" w:hAnsi="黑体" w:eastAsia="黑体" w:cs="黑体"/>
          <w:b w:val="0"/>
          <w:bCs w:val="0"/>
          <w:color w:val="auto"/>
          <w:sz w:val="32"/>
          <w:szCs w:val="32"/>
          <w:lang w:val="en-US" w:eastAsia="zh-CN"/>
        </w:rPr>
        <w:t>（</w:t>
      </w:r>
      <w:r>
        <w:rPr>
          <w:rFonts w:hint="eastAsia" w:ascii="楷体_GB2312" w:hAnsi="楷体_GB2312" w:eastAsia="楷体_GB2312" w:cs="楷体_GB2312"/>
          <w:b/>
          <w:bCs/>
          <w:color w:val="auto"/>
          <w:sz w:val="32"/>
          <w:szCs w:val="32"/>
          <w:lang w:val="en-US" w:eastAsia="zh-CN"/>
        </w:rPr>
        <w:t>评估）</w:t>
      </w:r>
      <w:r>
        <w:rPr>
          <w:rFonts w:hint="eastAsia" w:ascii="楷体_GB2312" w:hAnsi="楷体_GB2312" w:eastAsia="楷体_GB2312" w:cs="楷体_GB2312"/>
          <w:b/>
          <w:bCs/>
          <w:color w:val="auto"/>
          <w:sz w:val="32"/>
          <w:szCs w:val="32"/>
          <w:lang w:eastAsia="zh-CN"/>
        </w:rPr>
        <w:t>程</w:t>
      </w:r>
      <w:r>
        <w:rPr>
          <w:rFonts w:hint="eastAsia" w:ascii="楷体_GB2312" w:hAnsi="楷体_GB2312" w:eastAsia="楷体_GB2312" w:cs="楷体_GB2312"/>
          <w:b/>
          <w:bCs/>
          <w:color w:val="auto"/>
          <w:sz w:val="32"/>
          <w:szCs w:val="32"/>
        </w:rPr>
        <w:t>序</w:t>
      </w:r>
    </w:p>
    <w:p w14:paraId="5864A47E">
      <w:pPr>
        <w:keepNext w:val="0"/>
        <w:keepLines w:val="0"/>
        <w:pageBreakBefore w:val="0"/>
        <w:widowControl w:val="0"/>
        <w:kinsoku/>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color w:val="auto"/>
          <w:sz w:val="32"/>
          <w:szCs w:val="32"/>
          <w:highlight w:val="green"/>
          <w:lang w:val="en-US" w:eastAsia="zh-CN"/>
        </w:rPr>
      </w:pPr>
      <w:bookmarkStart w:id="3" w:name="bookmark6"/>
      <w:r>
        <w:rPr>
          <w:rFonts w:hint="eastAsia" w:ascii="仿宋" w:hAnsi="仿宋" w:eastAsia="仿宋" w:cs="仿宋"/>
          <w:color w:val="auto"/>
          <w:sz w:val="32"/>
          <w:szCs w:val="32"/>
          <w:lang w:eastAsia="zh-CN" w:bidi="zh-TW"/>
        </w:rPr>
        <w:t>本项目预算评审流程分为评审</w:t>
      </w:r>
      <w:r>
        <w:rPr>
          <w:rFonts w:hint="eastAsia" w:ascii="仿宋" w:hAnsi="仿宋" w:eastAsia="仿宋" w:cs="仿宋"/>
          <w:color w:val="auto"/>
          <w:sz w:val="32"/>
          <w:szCs w:val="32"/>
          <w:lang w:eastAsia="zh-CN"/>
        </w:rPr>
        <w:t>准备、评审资料收集、正式评定、</w:t>
      </w:r>
      <w:r>
        <w:rPr>
          <w:rFonts w:hint="eastAsia" w:ascii="仿宋" w:hAnsi="仿宋" w:eastAsia="仿宋" w:cs="仿宋"/>
          <w:color w:val="auto"/>
          <w:spacing w:val="3"/>
          <w:w w:val="95"/>
          <w:sz w:val="32"/>
          <w:szCs w:val="32"/>
          <w:lang w:eastAsia="zh-CN"/>
        </w:rPr>
        <w:t>形成评审</w:t>
      </w:r>
      <w:r>
        <w:rPr>
          <w:rFonts w:hint="eastAsia" w:ascii="仿宋" w:hAnsi="仿宋" w:eastAsia="仿宋" w:cs="仿宋"/>
          <w:color w:val="auto"/>
          <w:sz w:val="32"/>
          <w:szCs w:val="32"/>
          <w:lang w:eastAsia="zh-CN"/>
        </w:rPr>
        <w:t>结论（编制和提交评审报告）四个阶段</w:t>
      </w:r>
      <w:r>
        <w:rPr>
          <w:rFonts w:hint="eastAsia" w:ascii="仿宋" w:hAnsi="仿宋" w:eastAsia="仿宋" w:cs="仿宋"/>
          <w:color w:val="auto"/>
          <w:sz w:val="32"/>
          <w:szCs w:val="32"/>
          <w:lang w:val="en-US" w:eastAsia="zh-CN"/>
        </w:rPr>
        <w:t>。</w:t>
      </w:r>
    </w:p>
    <w:p w14:paraId="11104590">
      <w:pPr>
        <w:pStyle w:val="25"/>
        <w:keepNext w:val="0"/>
        <w:keepLines w:val="0"/>
        <w:pageBreakBefore w:val="0"/>
        <w:widowControl w:val="0"/>
        <w:tabs>
          <w:tab w:val="left" w:pos="1295"/>
        </w:tabs>
        <w:kinsoku/>
        <w:wordWrap/>
        <w:overflowPunct/>
        <w:topLinePunct w:val="0"/>
        <w:autoSpaceDE/>
        <w:autoSpaceDN/>
        <w:bidi w:val="0"/>
        <w:adjustRightInd/>
        <w:snapToGrid/>
        <w:spacing w:line="560" w:lineRule="exact"/>
        <w:jc w:val="both"/>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rPr>
        <w:t>（</w:t>
      </w:r>
      <w:bookmarkEnd w:id="3"/>
      <w:r>
        <w:rPr>
          <w:rFonts w:hint="eastAsia" w:ascii="楷体_GB2312" w:hAnsi="楷体_GB2312" w:eastAsia="楷体_GB2312" w:cs="楷体_GB2312"/>
          <w:b/>
          <w:bCs/>
          <w:color w:val="auto"/>
          <w:sz w:val="32"/>
          <w:szCs w:val="32"/>
        </w:rPr>
        <w:t>二）</w:t>
      </w:r>
      <w:r>
        <w:rPr>
          <w:rFonts w:hint="eastAsia" w:ascii="楷体_GB2312" w:hAnsi="楷体_GB2312" w:eastAsia="楷体_GB2312" w:cs="楷体_GB2312"/>
          <w:b/>
          <w:bCs/>
          <w:color w:val="auto"/>
          <w:sz w:val="32"/>
          <w:szCs w:val="32"/>
          <w:lang w:eastAsia="zh-CN"/>
        </w:rPr>
        <w:t>评审</w:t>
      </w:r>
      <w:r>
        <w:rPr>
          <w:rFonts w:hint="eastAsia" w:ascii="黑体" w:hAnsi="黑体" w:eastAsia="黑体" w:cs="黑体"/>
          <w:b w:val="0"/>
          <w:bCs w:val="0"/>
          <w:color w:val="auto"/>
          <w:sz w:val="32"/>
          <w:szCs w:val="32"/>
          <w:lang w:val="en-US" w:eastAsia="zh-CN"/>
        </w:rPr>
        <w:t>（</w:t>
      </w:r>
      <w:r>
        <w:rPr>
          <w:rFonts w:hint="eastAsia" w:ascii="楷体_GB2312" w:hAnsi="楷体_GB2312" w:eastAsia="楷体_GB2312" w:cs="楷体_GB2312"/>
          <w:b/>
          <w:bCs/>
          <w:color w:val="auto"/>
          <w:sz w:val="32"/>
          <w:szCs w:val="32"/>
          <w:lang w:val="en-US" w:eastAsia="zh-CN"/>
        </w:rPr>
        <w:t>评估）</w:t>
      </w:r>
      <w:r>
        <w:rPr>
          <w:rFonts w:hint="eastAsia" w:ascii="楷体_GB2312" w:hAnsi="楷体_GB2312" w:eastAsia="楷体_GB2312" w:cs="楷体_GB2312"/>
          <w:b/>
          <w:bCs/>
          <w:color w:val="auto"/>
          <w:sz w:val="32"/>
          <w:szCs w:val="32"/>
        </w:rPr>
        <w:t>依据</w:t>
      </w: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lang w:val="en-US" w:eastAsia="zh-CN"/>
        </w:rPr>
        <w:t>方式及方法</w:t>
      </w:r>
    </w:p>
    <w:p w14:paraId="2148E48A">
      <w:pPr>
        <w:keepNext w:val="0"/>
        <w:keepLines w:val="0"/>
        <w:pageBreakBefore w:val="0"/>
        <w:widowControl w:val="0"/>
        <w:kinsoku/>
        <w:overflowPunct/>
        <w:topLinePunct w:val="0"/>
        <w:autoSpaceDE/>
        <w:autoSpaceDN/>
        <w:bidi w:val="0"/>
        <w:adjustRightInd/>
        <w:snapToGrid/>
        <w:spacing w:line="560" w:lineRule="exact"/>
        <w:ind w:firstLine="643" w:firstLineChars="200"/>
        <w:jc w:val="both"/>
        <w:textAlignment w:val="auto"/>
        <w:rPr>
          <w:rFonts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1.评审</w:t>
      </w:r>
      <w:r>
        <w:rPr>
          <w:rFonts w:hint="eastAsia" w:ascii="黑体" w:hAnsi="黑体" w:eastAsia="黑体" w:cs="黑体"/>
          <w:b w:val="0"/>
          <w:bCs w:val="0"/>
          <w:color w:val="auto"/>
          <w:sz w:val="32"/>
          <w:szCs w:val="32"/>
          <w:lang w:val="en-US" w:eastAsia="zh-CN"/>
        </w:rPr>
        <w:t>（</w:t>
      </w:r>
      <w:r>
        <w:rPr>
          <w:rFonts w:hint="eastAsia" w:ascii="楷体_GB2312" w:hAnsi="楷体_GB2312" w:eastAsia="楷体_GB2312" w:cs="楷体_GB2312"/>
          <w:b/>
          <w:bCs/>
          <w:color w:val="auto"/>
          <w:sz w:val="32"/>
          <w:szCs w:val="32"/>
          <w:lang w:val="en-US" w:eastAsia="zh-CN"/>
        </w:rPr>
        <w:t>评估）</w:t>
      </w:r>
      <w:r>
        <w:rPr>
          <w:rFonts w:hint="eastAsia" w:ascii="仿宋" w:hAnsi="仿宋" w:eastAsia="仿宋" w:cs="仿宋"/>
          <w:b/>
          <w:bCs/>
          <w:color w:val="auto"/>
          <w:sz w:val="32"/>
          <w:szCs w:val="32"/>
          <w:lang w:eastAsia="zh-CN"/>
        </w:rPr>
        <w:t>依据</w:t>
      </w:r>
    </w:p>
    <w:p w14:paraId="048C7DC4">
      <w:pPr>
        <w:keepNext w:val="0"/>
        <w:keepLines w:val="0"/>
        <w:pageBreakBefore w:val="0"/>
        <w:widowControl w:val="0"/>
        <w:kinsoku/>
        <w:overflowPunct/>
        <w:topLinePunct w:val="0"/>
        <w:autoSpaceDE/>
        <w:autoSpaceDN/>
        <w:bidi w:val="0"/>
        <w:adjustRightInd/>
        <w:snapToGrid/>
        <w:spacing w:line="560" w:lineRule="exact"/>
        <w:ind w:firstLine="640" w:firstLineChars="200"/>
        <w:jc w:val="both"/>
        <w:textAlignment w:val="auto"/>
        <w:rPr>
          <w:rFonts w:hint="default" w:ascii="仿宋" w:hAnsi="仿宋" w:eastAsia="仿宋" w:cs="仿宋"/>
          <w:color w:val="auto"/>
          <w:sz w:val="32"/>
          <w:szCs w:val="32"/>
          <w:highlight w:val="green"/>
          <w:lang w:val="en-US" w:eastAsia="zh-CN"/>
        </w:rPr>
      </w:pPr>
      <w:r>
        <w:rPr>
          <w:rFonts w:hint="eastAsia" w:ascii="仿宋" w:hAnsi="仿宋" w:eastAsia="仿宋" w:cs="仿宋"/>
          <w:color w:val="auto"/>
          <w:sz w:val="32"/>
          <w:szCs w:val="32"/>
          <w:lang w:eastAsia="zh-CN"/>
        </w:rPr>
        <w:t>依据《中华人民共和国预算法》《中共中央国务院关于全面实施预算绩效管理的意见》(中发〔2018〕34号)等相关文件要求，</w:t>
      </w:r>
      <w:r>
        <w:rPr>
          <w:rFonts w:hint="eastAsia" w:ascii="仿宋" w:hAnsi="仿宋" w:eastAsia="仿宋" w:cs="仿宋"/>
          <w:color w:val="auto"/>
          <w:sz w:val="32"/>
          <w:szCs w:val="32"/>
          <w:lang w:val="en-US" w:eastAsia="zh-CN"/>
        </w:rPr>
        <w:t>以及</w:t>
      </w:r>
      <w:r>
        <w:rPr>
          <w:rFonts w:hint="eastAsia" w:ascii="仿宋" w:hAnsi="仿宋" w:eastAsia="仿宋" w:cs="仿宋"/>
          <w:color w:val="auto"/>
          <w:sz w:val="32"/>
          <w:szCs w:val="32"/>
          <w:lang w:eastAsia="zh-CN"/>
        </w:rPr>
        <w:t>项目单位提供的《关于</w:t>
      </w:r>
      <w:r>
        <w:rPr>
          <w:rFonts w:hint="eastAsia" w:ascii="仿宋" w:hAnsi="仿宋" w:eastAsia="仿宋" w:cs="仿宋"/>
          <w:color w:val="auto"/>
          <w:sz w:val="32"/>
          <w:szCs w:val="32"/>
          <w:lang w:val="en-US" w:eastAsia="zh-CN"/>
        </w:rPr>
        <w:t>拨付开展</w:t>
      </w:r>
      <w:r>
        <w:rPr>
          <w:rFonts w:hint="eastAsia" w:ascii="仿宋" w:hAnsi="仿宋" w:eastAsia="仿宋" w:cs="仿宋"/>
          <w:color w:val="auto"/>
          <w:sz w:val="32"/>
          <w:szCs w:val="32"/>
          <w:lang w:eastAsia="zh-CN"/>
        </w:rPr>
        <w:t>宝鸡</w:t>
      </w:r>
      <w:r>
        <w:rPr>
          <w:rFonts w:hint="eastAsia" w:ascii="仿宋" w:hAnsi="仿宋" w:eastAsia="仿宋" w:cs="仿宋"/>
          <w:color w:val="auto"/>
          <w:sz w:val="32"/>
          <w:szCs w:val="32"/>
          <w:lang w:val="en-US" w:eastAsia="zh-CN"/>
        </w:rPr>
        <w:t>蟠龙高新</w:t>
      </w:r>
      <w:r>
        <w:rPr>
          <w:rFonts w:hint="eastAsia" w:ascii="仿宋" w:hAnsi="仿宋" w:eastAsia="仿宋" w:cs="仿宋"/>
          <w:color w:val="auto"/>
          <w:sz w:val="32"/>
          <w:szCs w:val="32"/>
          <w:lang w:eastAsia="zh-CN"/>
        </w:rPr>
        <w:t>区控制性详细规划编制</w:t>
      </w:r>
      <w:r>
        <w:rPr>
          <w:rFonts w:hint="eastAsia" w:ascii="仿宋" w:hAnsi="仿宋" w:eastAsia="仿宋" w:cs="仿宋"/>
          <w:color w:val="auto"/>
          <w:sz w:val="32"/>
          <w:szCs w:val="32"/>
          <w:lang w:val="en-US" w:eastAsia="zh-CN"/>
        </w:rPr>
        <w:t>工作资金</w:t>
      </w:r>
      <w:r>
        <w:rPr>
          <w:rFonts w:hint="eastAsia" w:ascii="仿宋" w:hAnsi="仿宋" w:eastAsia="仿宋" w:cs="仿宋"/>
          <w:color w:val="auto"/>
          <w:sz w:val="32"/>
          <w:szCs w:val="32"/>
          <w:lang w:eastAsia="zh-CN"/>
        </w:rPr>
        <w:t>的请示》（宝</w:t>
      </w:r>
      <w:r>
        <w:rPr>
          <w:rFonts w:hint="eastAsia" w:ascii="仿宋" w:hAnsi="仿宋" w:eastAsia="仿宋" w:cs="仿宋"/>
          <w:color w:val="auto"/>
          <w:sz w:val="32"/>
          <w:szCs w:val="32"/>
          <w:lang w:val="en-US" w:eastAsia="zh-CN"/>
        </w:rPr>
        <w:t>蟠管</w:t>
      </w:r>
      <w:r>
        <w:rPr>
          <w:rFonts w:hint="eastAsia" w:ascii="仿宋" w:hAnsi="仿宋" w:eastAsia="仿宋" w:cs="仿宋"/>
          <w:color w:val="auto"/>
          <w:sz w:val="32"/>
          <w:szCs w:val="32"/>
          <w:lang w:eastAsia="zh-CN"/>
        </w:rPr>
        <w:t>字〔20</w:t>
      </w:r>
      <w:r>
        <w:rPr>
          <w:rFonts w:hint="eastAsia" w:ascii="仿宋" w:hAnsi="仿宋" w:eastAsia="仿宋" w:cs="仿宋"/>
          <w:color w:val="auto"/>
          <w:sz w:val="32"/>
          <w:szCs w:val="32"/>
          <w:lang w:val="en-US" w:eastAsia="zh-CN"/>
        </w:rPr>
        <w:t>24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22</w:t>
      </w:r>
      <w:r>
        <w:rPr>
          <w:rFonts w:hint="eastAsia" w:ascii="仿宋" w:hAnsi="仿宋" w:eastAsia="仿宋" w:cs="仿宋"/>
          <w:color w:val="auto"/>
          <w:sz w:val="32"/>
          <w:szCs w:val="32"/>
          <w:lang w:eastAsia="zh-CN"/>
        </w:rPr>
        <w:t>号）</w:t>
      </w:r>
      <w:r>
        <w:rPr>
          <w:rFonts w:hint="eastAsia" w:ascii="仿宋" w:hAnsi="仿宋" w:eastAsia="仿宋" w:cs="仿宋"/>
          <w:color w:val="auto"/>
          <w:sz w:val="32"/>
          <w:szCs w:val="32"/>
          <w:lang w:val="en-US" w:eastAsia="zh-CN"/>
        </w:rPr>
        <w:t>文件和</w:t>
      </w:r>
      <w:r>
        <w:rPr>
          <w:rFonts w:hint="eastAsia" w:ascii="仿宋" w:hAnsi="仿宋" w:eastAsia="仿宋" w:cs="仿宋"/>
          <w:color w:val="auto"/>
          <w:sz w:val="32"/>
          <w:szCs w:val="32"/>
          <w:lang w:eastAsia="zh-CN"/>
        </w:rPr>
        <w:t>补充资料等。遵循“科学、规范、客观、公正”的原则</w:t>
      </w:r>
      <w:r>
        <w:rPr>
          <w:rFonts w:hint="eastAsia" w:ascii="仿宋" w:hAnsi="仿宋" w:eastAsia="仿宋" w:cs="仿宋"/>
          <w:color w:val="auto"/>
          <w:sz w:val="32"/>
          <w:szCs w:val="32"/>
          <w:lang w:val="en-US" w:eastAsia="zh-CN"/>
        </w:rPr>
        <w:t>进行评审</w:t>
      </w:r>
      <w:r>
        <w:rPr>
          <w:rFonts w:hint="eastAsia" w:ascii="仿宋" w:hAnsi="仿宋" w:eastAsia="仿宋" w:cs="仿宋"/>
          <w:color w:val="auto"/>
          <w:sz w:val="32"/>
          <w:szCs w:val="32"/>
          <w:lang w:eastAsia="zh-CN"/>
        </w:rPr>
        <w:t>。</w:t>
      </w:r>
    </w:p>
    <w:p w14:paraId="73F71908">
      <w:pPr>
        <w:keepNext w:val="0"/>
        <w:keepLines w:val="0"/>
        <w:pageBreakBefore w:val="0"/>
        <w:widowControl w:val="0"/>
        <w:kinsoku/>
        <w:overflowPunct/>
        <w:topLinePunct w:val="0"/>
        <w:autoSpaceDE/>
        <w:autoSpaceDN/>
        <w:bidi w:val="0"/>
        <w:adjustRightInd/>
        <w:snapToGrid/>
        <w:spacing w:line="560" w:lineRule="exact"/>
        <w:ind w:firstLine="643" w:firstLineChars="200"/>
        <w:jc w:val="both"/>
        <w:textAlignment w:val="auto"/>
        <w:rPr>
          <w:rFonts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2.评审方式与方法</w:t>
      </w:r>
    </w:p>
    <w:p w14:paraId="00CFD0C6">
      <w:pPr>
        <w:keepNext w:val="0"/>
        <w:keepLines w:val="0"/>
        <w:pageBreakBefore w:val="0"/>
        <w:widowControl w:val="0"/>
        <w:kinsoku/>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lang w:eastAsia="zh-CN"/>
        </w:rPr>
        <w:t>本次评审采用</w:t>
      </w:r>
      <w:r>
        <w:rPr>
          <w:rFonts w:hint="eastAsia" w:ascii="仿宋" w:hAnsi="仿宋" w:eastAsia="仿宋" w:cs="仿宋"/>
          <w:color w:val="auto"/>
          <w:sz w:val="32"/>
          <w:szCs w:val="32"/>
          <w:lang w:val="en-US" w:eastAsia="zh-CN"/>
        </w:rPr>
        <w:t>市场</w:t>
      </w:r>
      <w:r>
        <w:rPr>
          <w:rFonts w:hint="eastAsia" w:ascii="仿宋" w:hAnsi="仿宋" w:eastAsia="仿宋" w:cs="仿宋"/>
          <w:color w:val="auto"/>
          <w:sz w:val="32"/>
          <w:szCs w:val="32"/>
          <w:lang w:eastAsia="zh-CN"/>
        </w:rPr>
        <w:t>比较法、因素分析法等方法。我们对项目单位提供的有关资料进行分析研究，并在</w:t>
      </w:r>
      <w:r>
        <w:rPr>
          <w:rFonts w:hint="eastAsia" w:ascii="仿宋" w:hAnsi="仿宋" w:eastAsia="仿宋" w:cs="仿宋"/>
          <w:color w:val="auto"/>
          <w:sz w:val="32"/>
          <w:szCs w:val="32"/>
          <w:lang w:val="en-US" w:eastAsia="zh-CN"/>
        </w:rPr>
        <w:t>6月13日组织第三方机构到蟠龙高新区管委会调查，听取了项目单位相关情况反馈和意见建议。</w:t>
      </w:r>
      <w:r>
        <w:rPr>
          <w:rFonts w:hint="eastAsia" w:ascii="仿宋" w:hAnsi="仿宋" w:eastAsia="仿宋" w:cs="仿宋"/>
          <w:color w:val="auto"/>
          <w:sz w:val="32"/>
          <w:szCs w:val="32"/>
          <w:lang w:eastAsia="zh-CN"/>
        </w:rPr>
        <w:t>经过市场调查和专家咨询工作，</w:t>
      </w:r>
      <w:r>
        <w:rPr>
          <w:rFonts w:hint="eastAsia" w:ascii="仿宋" w:hAnsi="仿宋" w:eastAsia="仿宋" w:cs="仿宋"/>
          <w:color w:val="auto"/>
          <w:sz w:val="30"/>
          <w:szCs w:val="30"/>
          <w:highlight w:val="none"/>
          <w:lang w:val="en-US" w:eastAsia="zh-CN"/>
        </w:rPr>
        <w:t>参考同类项目已有的价格，</w:t>
      </w:r>
      <w:r>
        <w:rPr>
          <w:rFonts w:hint="eastAsia" w:ascii="仿宋" w:hAnsi="仿宋" w:eastAsia="仿宋" w:cs="仿宋"/>
          <w:color w:val="auto"/>
          <w:sz w:val="32"/>
          <w:szCs w:val="32"/>
          <w:highlight w:val="none"/>
          <w:lang w:val="en-US" w:eastAsia="zh-CN"/>
        </w:rPr>
        <w:t>得出评审结论。</w:t>
      </w:r>
    </w:p>
    <w:p w14:paraId="582BB818">
      <w:pPr>
        <w:keepNext w:val="0"/>
        <w:keepLines w:val="0"/>
        <w:pageBreakBefore w:val="0"/>
        <w:widowControl w:val="0"/>
        <w:kinsoku/>
        <w:overflowPunct/>
        <w:topLinePunct w:val="0"/>
        <w:autoSpaceDE/>
        <w:autoSpaceDN/>
        <w:bidi w:val="0"/>
        <w:adjustRightInd/>
        <w:snapToGrid/>
        <w:spacing w:line="560" w:lineRule="exact"/>
        <w:ind w:firstLine="643" w:firstLineChars="200"/>
        <w:jc w:val="both"/>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3.评审人员组成：</w:t>
      </w:r>
      <w:r>
        <w:rPr>
          <w:rFonts w:hint="eastAsia" w:ascii="仿宋" w:hAnsi="仿宋" w:eastAsia="仿宋" w:cs="仿宋"/>
          <w:color w:val="auto"/>
          <w:sz w:val="32"/>
          <w:szCs w:val="32"/>
          <w:highlight w:val="none"/>
          <w:lang w:val="en-US" w:eastAsia="zh-CN"/>
        </w:rPr>
        <w:t>王海侠、温建龙（主评人）、薛倩、刘永强</w:t>
      </w:r>
    </w:p>
    <w:p w14:paraId="20B4CF68">
      <w:pPr>
        <w:keepNext w:val="0"/>
        <w:keepLines w:val="0"/>
        <w:pageBreakBefore w:val="0"/>
        <w:widowControl w:val="0"/>
        <w:kinsoku/>
        <w:overflowPunct/>
        <w:topLinePunct w:val="0"/>
        <w:autoSpaceDE/>
        <w:autoSpaceDN/>
        <w:bidi w:val="0"/>
        <w:adjustRightInd/>
        <w:snapToGrid/>
        <w:spacing w:line="560" w:lineRule="exact"/>
        <w:ind w:firstLine="643" w:firstLineChars="200"/>
        <w:jc w:val="both"/>
        <w:textAlignment w:val="auto"/>
        <w:rPr>
          <w:rFonts w:ascii="仿宋" w:hAnsi="仿宋" w:eastAsia="仿宋" w:cs="仿宋"/>
          <w:b/>
          <w:bCs/>
          <w:color w:val="auto"/>
          <w:sz w:val="32"/>
          <w:szCs w:val="32"/>
          <w:lang w:eastAsia="zh-CN"/>
        </w:rPr>
      </w:pPr>
      <w:r>
        <w:rPr>
          <w:rFonts w:hint="eastAsia" w:ascii="楷体_GB2312" w:hAnsi="楷体_GB2312" w:eastAsia="楷体_GB2312" w:cs="楷体_GB2312"/>
          <w:b/>
          <w:bCs/>
          <w:color w:val="auto"/>
          <w:sz w:val="32"/>
          <w:szCs w:val="32"/>
        </w:rPr>
        <w:t>（</w:t>
      </w:r>
      <w:r>
        <w:rPr>
          <w:rFonts w:hint="eastAsia" w:ascii="楷体_GB2312" w:hAnsi="楷体_GB2312" w:eastAsia="楷体_GB2312" w:cs="楷体_GB2312"/>
          <w:b/>
          <w:bCs/>
          <w:color w:val="auto"/>
          <w:sz w:val="32"/>
          <w:szCs w:val="32"/>
          <w:lang w:val="en-US" w:eastAsia="zh-CN"/>
        </w:rPr>
        <w:t>三</w:t>
      </w:r>
      <w:r>
        <w:rPr>
          <w:rFonts w:hint="eastAsia" w:ascii="楷体_GB2312" w:hAnsi="楷体_GB2312" w:eastAsia="楷体_GB2312" w:cs="楷体_GB2312"/>
          <w:b/>
          <w:bCs/>
          <w:color w:val="auto"/>
          <w:sz w:val="32"/>
          <w:szCs w:val="32"/>
        </w:rPr>
        <w:t>）</w:t>
      </w:r>
      <w:r>
        <w:rPr>
          <w:rFonts w:hint="eastAsia" w:ascii="仿宋" w:hAnsi="仿宋" w:eastAsia="仿宋" w:cs="仿宋"/>
          <w:b/>
          <w:bCs/>
          <w:color w:val="auto"/>
          <w:sz w:val="32"/>
          <w:szCs w:val="32"/>
          <w:lang w:eastAsia="zh-CN"/>
        </w:rPr>
        <w:t>评审（评估）的局限性</w:t>
      </w:r>
    </w:p>
    <w:p w14:paraId="12D4834E">
      <w:pPr>
        <w:keepNext w:val="0"/>
        <w:keepLines w:val="0"/>
        <w:pageBreakBefore w:val="0"/>
        <w:widowControl w:val="0"/>
        <w:kinsoku/>
        <w:overflowPunct/>
        <w:topLinePunct w:val="0"/>
        <w:autoSpaceDE/>
        <w:autoSpaceDN/>
        <w:bidi w:val="0"/>
        <w:adjustRightInd/>
        <w:snapToGrid/>
        <w:spacing w:line="560" w:lineRule="exact"/>
        <w:ind w:firstLine="640" w:firstLineChars="200"/>
        <w:jc w:val="both"/>
        <w:textAlignment w:val="auto"/>
        <w:rPr>
          <w:rFonts w:ascii="仿宋" w:hAnsi="仿宋" w:eastAsia="仿宋" w:cs="仿宋"/>
          <w:color w:val="auto"/>
          <w:sz w:val="32"/>
          <w:szCs w:val="32"/>
          <w:lang w:eastAsia="zh-CN"/>
        </w:rPr>
      </w:pPr>
      <w:r>
        <w:rPr>
          <w:rFonts w:hint="eastAsia" w:ascii="仿宋" w:hAnsi="仿宋" w:eastAsia="仿宋" w:cs="仿宋"/>
          <w:color w:val="auto"/>
          <w:sz w:val="32"/>
          <w:szCs w:val="32"/>
          <w:lang w:eastAsia="zh-CN"/>
        </w:rPr>
        <w:t>本项目市场价格受到规划区地段类别、成果深度要求、规划编制承接方实力等诸多因素影响，</w:t>
      </w:r>
      <w:r>
        <w:rPr>
          <w:rFonts w:hint="eastAsia" w:ascii="仿宋" w:hAnsi="仿宋" w:eastAsia="仿宋" w:cs="仿宋"/>
          <w:color w:val="auto"/>
          <w:sz w:val="32"/>
          <w:szCs w:val="32"/>
          <w:lang w:val="en-US" w:eastAsia="zh-CN"/>
        </w:rPr>
        <w:t>以及</w:t>
      </w:r>
      <w:r>
        <w:rPr>
          <w:rFonts w:hint="eastAsia" w:ascii="仿宋" w:hAnsi="仿宋" w:eastAsia="仿宋" w:cs="仿宋"/>
          <w:color w:val="auto"/>
          <w:sz w:val="32"/>
          <w:szCs w:val="32"/>
          <w:lang w:eastAsia="zh-CN"/>
        </w:rPr>
        <w:t>评审人员专业</w:t>
      </w:r>
      <w:r>
        <w:rPr>
          <w:rFonts w:hint="eastAsia" w:ascii="仿宋" w:hAnsi="仿宋" w:eastAsia="仿宋" w:cs="仿宋"/>
          <w:color w:val="auto"/>
          <w:sz w:val="32"/>
          <w:szCs w:val="32"/>
          <w:lang w:val="en-US" w:eastAsia="zh-CN"/>
        </w:rPr>
        <w:t>知识</w:t>
      </w:r>
      <w:r>
        <w:rPr>
          <w:rFonts w:hint="eastAsia" w:ascii="仿宋" w:hAnsi="仿宋" w:eastAsia="仿宋" w:cs="仿宋"/>
          <w:color w:val="auto"/>
          <w:sz w:val="32"/>
          <w:szCs w:val="32"/>
          <w:lang w:eastAsia="zh-CN"/>
        </w:rPr>
        <w:t>和认知能力所限，评审</w:t>
      </w:r>
      <w:r>
        <w:rPr>
          <w:rFonts w:hint="eastAsia" w:ascii="仿宋" w:hAnsi="仿宋" w:eastAsia="仿宋" w:cs="仿宋"/>
          <w:color w:val="auto"/>
          <w:sz w:val="32"/>
          <w:szCs w:val="32"/>
          <w:lang w:val="en-US" w:eastAsia="zh-CN"/>
        </w:rPr>
        <w:t>结论</w:t>
      </w:r>
      <w:r>
        <w:rPr>
          <w:rFonts w:hint="eastAsia" w:ascii="仿宋" w:hAnsi="仿宋" w:eastAsia="仿宋" w:cs="仿宋"/>
          <w:color w:val="auto"/>
          <w:sz w:val="32"/>
          <w:szCs w:val="32"/>
          <w:lang w:eastAsia="zh-CN"/>
        </w:rPr>
        <w:t>可能存在一定局限性。此外，项目单位提供的工作方案、对接需求的细化程度、后期需求变化程度等，也会对评审结论带来影响。</w:t>
      </w:r>
    </w:p>
    <w:p w14:paraId="04BF235A">
      <w:pPr>
        <w:pStyle w:val="25"/>
        <w:keepNext w:val="0"/>
        <w:keepLines w:val="0"/>
        <w:pageBreakBefore w:val="0"/>
        <w:widowControl w:val="0"/>
        <w:tabs>
          <w:tab w:val="left" w:pos="689"/>
        </w:tabs>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三、评审内容与结论</w:t>
      </w:r>
    </w:p>
    <w:p w14:paraId="7B960C6B">
      <w:pPr>
        <w:pStyle w:val="25"/>
        <w:keepNext w:val="0"/>
        <w:keepLines w:val="0"/>
        <w:pageBreakBefore w:val="0"/>
        <w:widowControl w:val="0"/>
        <w:tabs>
          <w:tab w:val="left" w:pos="1295"/>
        </w:tabs>
        <w:kinsoku/>
        <w:wordWrap/>
        <w:overflowPunct/>
        <w:topLinePunct w:val="0"/>
        <w:autoSpaceDE/>
        <w:autoSpaceDN/>
        <w:bidi w:val="0"/>
        <w:adjustRightInd/>
        <w:snapToGrid/>
        <w:spacing w:line="560" w:lineRule="exact"/>
        <w:jc w:val="both"/>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rPr>
        <w:t>（一）项目</w:t>
      </w:r>
      <w:r>
        <w:rPr>
          <w:rFonts w:hint="eastAsia" w:ascii="楷体_GB2312" w:hAnsi="楷体_GB2312" w:eastAsia="楷体_GB2312" w:cs="楷体_GB2312"/>
          <w:b/>
          <w:bCs/>
          <w:color w:val="auto"/>
          <w:sz w:val="32"/>
          <w:szCs w:val="32"/>
          <w:lang w:val="en-US" w:eastAsia="zh-CN"/>
        </w:rPr>
        <w:t>立项必要性</w:t>
      </w:r>
    </w:p>
    <w:p w14:paraId="27DB0A49">
      <w:pPr>
        <w:keepNext w:val="0"/>
        <w:keepLines w:val="0"/>
        <w:pageBreakBefore w:val="0"/>
        <w:widowControl w:val="0"/>
        <w:kinsoku/>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项目</w:t>
      </w:r>
      <w:r>
        <w:rPr>
          <w:rFonts w:hint="eastAsia" w:ascii="仿宋" w:hAnsi="仿宋" w:eastAsia="仿宋" w:cs="仿宋"/>
          <w:color w:val="auto"/>
          <w:sz w:val="32"/>
          <w:szCs w:val="32"/>
          <w:lang w:val="en-US" w:eastAsia="zh-CN"/>
        </w:rPr>
        <w:t>依据宝鸡市国土空间规划编制领导小组办公室印发的《宝鸡市国土空间控制性详细规划编制工作方案》（宝市自然资发</w:t>
      </w:r>
      <w:r>
        <w:rPr>
          <w:rFonts w:hint="eastAsia" w:ascii="仿宋" w:hAnsi="仿宋" w:eastAsia="仿宋" w:cs="仿宋"/>
          <w:color w:val="auto"/>
          <w:sz w:val="32"/>
          <w:szCs w:val="32"/>
          <w:lang w:eastAsia="zh-CN"/>
        </w:rPr>
        <w:t>〔20</w:t>
      </w:r>
      <w:r>
        <w:rPr>
          <w:rFonts w:hint="eastAsia" w:ascii="仿宋" w:hAnsi="仿宋" w:eastAsia="仿宋" w:cs="仿宋"/>
          <w:color w:val="auto"/>
          <w:sz w:val="32"/>
          <w:szCs w:val="32"/>
          <w:lang w:val="en-US" w:eastAsia="zh-CN"/>
        </w:rPr>
        <w:t>23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414号）文件进行实施，</w:t>
      </w:r>
      <w:r>
        <w:rPr>
          <w:rFonts w:hint="eastAsia" w:ascii="仿宋" w:hAnsi="仿宋" w:eastAsia="仿宋" w:cs="仿宋"/>
          <w:color w:val="auto"/>
          <w:sz w:val="32"/>
          <w:szCs w:val="32"/>
          <w:lang w:eastAsia="zh-CN"/>
        </w:rPr>
        <w:t>项目需求合理，实施必要性充分。</w:t>
      </w:r>
    </w:p>
    <w:p w14:paraId="373A1968">
      <w:pPr>
        <w:pStyle w:val="25"/>
        <w:keepNext w:val="0"/>
        <w:keepLines w:val="0"/>
        <w:pageBreakBefore w:val="0"/>
        <w:widowControl w:val="0"/>
        <w:tabs>
          <w:tab w:val="left" w:pos="1295"/>
        </w:tabs>
        <w:kinsoku/>
        <w:wordWrap/>
        <w:overflowPunct/>
        <w:topLinePunct w:val="0"/>
        <w:autoSpaceDE/>
        <w:autoSpaceDN/>
        <w:bidi w:val="0"/>
        <w:adjustRightInd/>
        <w:snapToGrid/>
        <w:spacing w:line="560" w:lineRule="exact"/>
        <w:jc w:val="both"/>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（二）绩效目标合理性</w:t>
      </w:r>
    </w:p>
    <w:p w14:paraId="6DCBB8AD">
      <w:pPr>
        <w:keepNext w:val="0"/>
        <w:keepLines w:val="0"/>
        <w:pageBreakBefore w:val="0"/>
        <w:widowControl w:val="0"/>
        <w:kinsoku/>
        <w:overflowPunct/>
        <w:topLinePunct w:val="0"/>
        <w:autoSpaceDE/>
        <w:autoSpaceDN/>
        <w:bidi w:val="0"/>
        <w:adjustRightInd/>
        <w:snapToGrid/>
        <w:spacing w:line="540" w:lineRule="exact"/>
        <w:ind w:firstLine="640" w:firstLineChars="200"/>
        <w:jc w:val="both"/>
        <w:textAlignment w:val="auto"/>
        <w:rPr>
          <w:rFonts w:ascii="仿宋" w:hAnsi="仿宋" w:eastAsia="仿宋" w:cs="仿宋_GB2312"/>
          <w:color w:val="auto"/>
          <w:sz w:val="32"/>
          <w:szCs w:val="32"/>
          <w:lang w:eastAsia="zh-CN" w:bidi="zh-TW"/>
        </w:rPr>
      </w:pPr>
      <w:r>
        <w:rPr>
          <w:rFonts w:hint="eastAsia" w:ascii="仿宋" w:hAnsi="仿宋" w:eastAsia="仿宋" w:cs="仿宋_GB2312"/>
          <w:color w:val="auto"/>
          <w:sz w:val="32"/>
          <w:szCs w:val="32"/>
          <w:lang w:eastAsia="zh-CN" w:bidi="zh-TW"/>
        </w:rPr>
        <w:t>控制性详细规划是实施国土空间用途管制、核发城乡建设项目规划许可、实施城乡开发建设等活动的法定依据。通过本项目实施，为今后一段时期内</w:t>
      </w:r>
      <w:r>
        <w:rPr>
          <w:rFonts w:hint="eastAsia" w:ascii="仿宋" w:hAnsi="仿宋" w:eastAsia="仿宋" w:cs="仿宋_GB2312"/>
          <w:color w:val="auto"/>
          <w:sz w:val="32"/>
          <w:szCs w:val="32"/>
          <w:lang w:val="en-US" w:eastAsia="zh-CN" w:bidi="zh-TW"/>
        </w:rPr>
        <w:t>蟠龙高新区</w:t>
      </w:r>
      <w:r>
        <w:rPr>
          <w:rFonts w:hint="eastAsia" w:ascii="仿宋" w:hAnsi="仿宋" w:eastAsia="仿宋" w:cs="仿宋_GB2312"/>
          <w:color w:val="auto"/>
          <w:sz w:val="32"/>
          <w:szCs w:val="32"/>
          <w:lang w:eastAsia="zh-CN" w:bidi="zh-TW"/>
        </w:rPr>
        <w:t>发展提供控制依据。项目绩效目标明确，符合国家、省市相关文件要求，且能够在一定期限内实现。</w:t>
      </w:r>
    </w:p>
    <w:p w14:paraId="526FD54A">
      <w:pPr>
        <w:pStyle w:val="25"/>
        <w:keepNext w:val="0"/>
        <w:keepLines w:val="0"/>
        <w:pageBreakBefore w:val="0"/>
        <w:widowControl w:val="0"/>
        <w:tabs>
          <w:tab w:val="left" w:pos="1295"/>
        </w:tabs>
        <w:kinsoku/>
        <w:wordWrap/>
        <w:overflowPunct/>
        <w:topLinePunct w:val="0"/>
        <w:autoSpaceDE/>
        <w:autoSpaceDN/>
        <w:bidi w:val="0"/>
        <w:adjustRightInd/>
        <w:snapToGrid/>
        <w:spacing w:line="560" w:lineRule="exact"/>
        <w:jc w:val="both"/>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（三）实施方案可行性</w:t>
      </w:r>
    </w:p>
    <w:p w14:paraId="46D70F39">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ascii="仿宋" w:hAnsi="仿宋" w:eastAsia="仿宋" w:cs="仿宋_GB2312"/>
          <w:color w:val="auto"/>
          <w:sz w:val="32"/>
          <w:szCs w:val="32"/>
          <w:lang w:eastAsia="zh-CN" w:bidi="zh-TW"/>
        </w:rPr>
      </w:pPr>
      <w:r>
        <w:rPr>
          <w:rFonts w:hint="eastAsia" w:ascii="仿宋" w:hAnsi="仿宋" w:eastAsia="仿宋" w:cs="仿宋_GB2312"/>
          <w:color w:val="auto"/>
          <w:sz w:val="32"/>
          <w:szCs w:val="32"/>
          <w:lang w:eastAsia="zh-CN" w:bidi="zh-TW"/>
        </w:rPr>
        <w:t>《宝鸡市国土空间总体规划（202</w:t>
      </w:r>
      <w:r>
        <w:rPr>
          <w:rFonts w:hint="eastAsia" w:ascii="仿宋" w:hAnsi="仿宋" w:eastAsia="仿宋" w:cs="仿宋_GB2312"/>
          <w:color w:val="auto"/>
          <w:sz w:val="32"/>
          <w:szCs w:val="32"/>
          <w:lang w:val="en-US" w:eastAsia="zh-CN" w:bidi="zh-TW"/>
        </w:rPr>
        <w:t>1</w:t>
      </w:r>
      <w:r>
        <w:rPr>
          <w:rFonts w:hint="eastAsia" w:ascii="仿宋" w:hAnsi="仿宋" w:eastAsia="仿宋" w:cs="仿宋_GB2312"/>
          <w:color w:val="auto"/>
          <w:sz w:val="32"/>
          <w:szCs w:val="32"/>
          <w:lang w:eastAsia="zh-CN" w:bidi="zh-TW"/>
        </w:rPr>
        <w:t>-2035）》已编制完成。在此基础上，市自然资源和规划局</w:t>
      </w:r>
      <w:r>
        <w:rPr>
          <w:rFonts w:hint="eastAsia" w:ascii="仿宋" w:hAnsi="仿宋" w:eastAsia="仿宋" w:cs="仿宋_GB2312"/>
          <w:color w:val="auto"/>
          <w:sz w:val="32"/>
          <w:szCs w:val="32"/>
          <w:lang w:val="en-US" w:eastAsia="zh-CN" w:bidi="zh-TW"/>
        </w:rPr>
        <w:t>下发文件推进</w:t>
      </w:r>
      <w:r>
        <w:rPr>
          <w:rFonts w:hint="eastAsia" w:ascii="仿宋" w:hAnsi="仿宋" w:eastAsia="仿宋" w:cs="仿宋_GB2312"/>
          <w:color w:val="auto"/>
          <w:sz w:val="32"/>
          <w:szCs w:val="32"/>
          <w:lang w:eastAsia="zh-CN" w:bidi="zh-TW"/>
        </w:rPr>
        <w:t>控制性详细规划编制工作，</w:t>
      </w:r>
      <w:r>
        <w:rPr>
          <w:rFonts w:hint="eastAsia" w:ascii="仿宋" w:hAnsi="仿宋" w:eastAsia="仿宋" w:cs="仿宋_GB2312"/>
          <w:color w:val="auto"/>
          <w:sz w:val="32"/>
          <w:szCs w:val="32"/>
          <w:lang w:val="en-US" w:eastAsia="zh-CN" w:bidi="zh-TW"/>
        </w:rPr>
        <w:t>项目单位</w:t>
      </w:r>
      <w:r>
        <w:rPr>
          <w:rFonts w:hint="eastAsia" w:ascii="仿宋" w:hAnsi="仿宋" w:eastAsia="仿宋" w:cs="仿宋_GB2312"/>
          <w:color w:val="auto"/>
          <w:sz w:val="32"/>
          <w:szCs w:val="32"/>
          <w:lang w:eastAsia="zh-CN" w:bidi="zh-TW"/>
        </w:rPr>
        <w:t>拟</w:t>
      </w:r>
      <w:r>
        <w:rPr>
          <w:rFonts w:hint="eastAsia" w:ascii="仿宋" w:hAnsi="仿宋" w:eastAsia="仿宋" w:cs="仿宋_GB2312"/>
          <w:color w:val="auto"/>
          <w:sz w:val="32"/>
          <w:szCs w:val="32"/>
          <w:lang w:val="en-US" w:eastAsia="zh-CN" w:bidi="zh-TW"/>
        </w:rPr>
        <w:t>通过招标选定</w:t>
      </w:r>
      <w:r>
        <w:rPr>
          <w:rFonts w:hint="eastAsia" w:ascii="仿宋" w:hAnsi="仿宋" w:eastAsia="仿宋" w:cs="仿宋_GB2312"/>
          <w:color w:val="auto"/>
          <w:sz w:val="32"/>
          <w:szCs w:val="32"/>
          <w:lang w:eastAsia="zh-CN" w:bidi="zh-TW"/>
        </w:rPr>
        <w:t>具有相应城乡规划编制资质的规划设计单位</w:t>
      </w:r>
      <w:r>
        <w:rPr>
          <w:rFonts w:hint="eastAsia" w:ascii="仿宋" w:hAnsi="仿宋" w:eastAsia="仿宋" w:cs="仿宋_GB2312"/>
          <w:color w:val="auto"/>
          <w:sz w:val="32"/>
          <w:szCs w:val="32"/>
          <w:lang w:val="en-US" w:eastAsia="zh-CN" w:bidi="zh-TW"/>
        </w:rPr>
        <w:t>进行</w:t>
      </w:r>
      <w:r>
        <w:rPr>
          <w:rFonts w:hint="eastAsia" w:ascii="仿宋" w:hAnsi="仿宋" w:eastAsia="仿宋" w:cs="仿宋_GB2312"/>
          <w:color w:val="auto"/>
          <w:sz w:val="32"/>
          <w:szCs w:val="32"/>
          <w:lang w:eastAsia="zh-CN" w:bidi="zh-TW"/>
        </w:rPr>
        <w:t>编制，项目实施方案总体可行。</w:t>
      </w:r>
    </w:p>
    <w:p w14:paraId="6BA71683">
      <w:pPr>
        <w:pStyle w:val="25"/>
        <w:keepNext w:val="0"/>
        <w:keepLines w:val="0"/>
        <w:pageBreakBefore w:val="0"/>
        <w:widowControl w:val="0"/>
        <w:tabs>
          <w:tab w:val="left" w:pos="1295"/>
        </w:tabs>
        <w:kinsoku/>
        <w:wordWrap/>
        <w:overflowPunct/>
        <w:topLinePunct w:val="0"/>
        <w:autoSpaceDE/>
        <w:autoSpaceDN/>
        <w:bidi w:val="0"/>
        <w:adjustRightInd/>
        <w:snapToGrid/>
        <w:spacing w:line="560" w:lineRule="exact"/>
        <w:jc w:val="both"/>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（四）筹资合规性</w:t>
      </w:r>
    </w:p>
    <w:p w14:paraId="237233E1">
      <w:pPr>
        <w:keepNext w:val="0"/>
        <w:keepLines w:val="0"/>
        <w:pageBreakBefore w:val="0"/>
        <w:widowControl w:val="0"/>
        <w:kinsoku/>
        <w:overflowPunct/>
        <w:topLinePunct w:val="0"/>
        <w:autoSpaceDE/>
        <w:autoSpaceDN/>
        <w:bidi w:val="0"/>
        <w:adjustRightInd/>
        <w:snapToGrid/>
        <w:spacing w:line="560" w:lineRule="exact"/>
        <w:ind w:firstLine="640" w:firstLineChars="200"/>
        <w:jc w:val="both"/>
        <w:textAlignment w:val="auto"/>
        <w:rPr>
          <w:rFonts w:ascii="仿宋" w:hAnsi="仿宋" w:eastAsia="仿宋" w:cs="仿宋"/>
          <w:bCs/>
          <w:color w:val="auto"/>
          <w:sz w:val="32"/>
          <w:szCs w:val="32"/>
          <w:lang w:eastAsia="zh-CN"/>
        </w:rPr>
      </w:pPr>
      <w:r>
        <w:rPr>
          <w:rFonts w:hint="eastAsia" w:ascii="仿宋" w:hAnsi="仿宋" w:eastAsia="仿宋" w:cs="仿宋"/>
          <w:color w:val="auto"/>
          <w:sz w:val="32"/>
          <w:szCs w:val="32"/>
          <w:lang w:eastAsia="zh-CN" w:bidi="zh-TW"/>
        </w:rPr>
        <w:t>本项目为政府部门行使行政职责，属于财政事权，申请财政资金符合预算法等法律法规及相关政策规定。</w:t>
      </w:r>
    </w:p>
    <w:p w14:paraId="26593BED">
      <w:pPr>
        <w:pStyle w:val="25"/>
        <w:keepNext w:val="0"/>
        <w:keepLines w:val="0"/>
        <w:pageBreakBefore w:val="0"/>
        <w:widowControl w:val="0"/>
        <w:tabs>
          <w:tab w:val="left" w:pos="1295"/>
        </w:tabs>
        <w:kinsoku/>
        <w:wordWrap/>
        <w:overflowPunct/>
        <w:topLinePunct w:val="0"/>
        <w:autoSpaceDE/>
        <w:autoSpaceDN/>
        <w:bidi w:val="0"/>
        <w:adjustRightInd/>
        <w:snapToGrid/>
        <w:spacing w:line="560" w:lineRule="exact"/>
        <w:jc w:val="both"/>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（五）投入经济性</w:t>
      </w:r>
    </w:p>
    <w:p w14:paraId="3D3D110E">
      <w:pPr>
        <w:keepNext w:val="0"/>
        <w:keepLines w:val="0"/>
        <w:pageBreakBefore w:val="0"/>
        <w:widowControl w:val="0"/>
        <w:kinsoku/>
        <w:overflowPunct/>
        <w:topLinePunct w:val="0"/>
        <w:autoSpaceDE/>
        <w:autoSpaceDN/>
        <w:bidi w:val="0"/>
        <w:adjustRightInd/>
        <w:snapToGrid/>
        <w:spacing w:line="560" w:lineRule="exact"/>
        <w:ind w:firstLine="640" w:firstLineChars="200"/>
        <w:jc w:val="both"/>
        <w:textAlignment w:val="auto"/>
        <w:rPr>
          <w:rFonts w:ascii="仿宋" w:hAnsi="仿宋" w:eastAsia="仿宋" w:cs="仿宋_GB2312"/>
          <w:color w:val="auto"/>
          <w:sz w:val="32"/>
          <w:szCs w:val="32"/>
          <w:lang w:eastAsia="zh-CN" w:bidi="zh-TW"/>
        </w:rPr>
      </w:pPr>
      <w:r>
        <w:rPr>
          <w:rFonts w:hint="eastAsia" w:ascii="仿宋" w:hAnsi="仿宋" w:eastAsia="仿宋" w:cs="仿宋_GB2312"/>
          <w:color w:val="auto"/>
          <w:sz w:val="32"/>
          <w:szCs w:val="32"/>
          <w:lang w:eastAsia="zh-CN" w:bidi="zh-TW"/>
        </w:rPr>
        <w:t>本项目不产生直接经济效益，但项目实施后可望提高用地审批效率，在城乡开发建设、产城融合等方面带来间接经济效益，为</w:t>
      </w:r>
      <w:r>
        <w:rPr>
          <w:rFonts w:hint="eastAsia" w:ascii="仿宋" w:hAnsi="仿宋" w:eastAsia="仿宋" w:cs="仿宋_GB2312"/>
          <w:color w:val="auto"/>
          <w:sz w:val="32"/>
          <w:szCs w:val="32"/>
          <w:lang w:val="en-US" w:eastAsia="zh-CN" w:bidi="zh-TW"/>
        </w:rPr>
        <w:t>园区</w:t>
      </w:r>
      <w:r>
        <w:rPr>
          <w:rFonts w:hint="eastAsia" w:ascii="仿宋" w:hAnsi="仿宋" w:eastAsia="仿宋" w:cs="仿宋_GB2312"/>
          <w:color w:val="auto"/>
          <w:sz w:val="32"/>
          <w:szCs w:val="32"/>
          <w:lang w:eastAsia="zh-CN" w:bidi="zh-TW"/>
        </w:rPr>
        <w:t>高质量发展提供坚实的空间保障，</w:t>
      </w:r>
      <w:r>
        <w:rPr>
          <w:rFonts w:hint="eastAsia" w:ascii="仿宋" w:hAnsi="仿宋" w:eastAsia="仿宋" w:cs="仿宋"/>
          <w:color w:val="auto"/>
          <w:sz w:val="32"/>
          <w:szCs w:val="32"/>
          <w:lang w:eastAsia="zh-CN" w:bidi="zh-TW"/>
        </w:rPr>
        <w:t>为今后</w:t>
      </w:r>
      <w:r>
        <w:rPr>
          <w:rFonts w:hint="eastAsia" w:ascii="仿宋" w:hAnsi="仿宋" w:eastAsia="仿宋" w:cs="仿宋"/>
          <w:color w:val="auto"/>
          <w:sz w:val="32"/>
          <w:szCs w:val="32"/>
          <w:lang w:val="en-US" w:eastAsia="zh-CN" w:bidi="zh-TW"/>
        </w:rPr>
        <w:t>蟠龙高新区</w:t>
      </w:r>
      <w:r>
        <w:rPr>
          <w:rFonts w:hint="eastAsia" w:ascii="仿宋" w:hAnsi="仿宋" w:eastAsia="仿宋" w:cs="仿宋"/>
          <w:color w:val="auto"/>
          <w:sz w:val="32"/>
          <w:szCs w:val="32"/>
          <w:lang w:eastAsia="zh-CN" w:bidi="zh-TW"/>
        </w:rPr>
        <w:t>发展提供控制依据</w:t>
      </w:r>
      <w:r>
        <w:rPr>
          <w:rFonts w:hint="eastAsia" w:ascii="仿宋" w:hAnsi="仿宋" w:eastAsia="仿宋" w:cs="仿宋_GB2312"/>
          <w:color w:val="auto"/>
          <w:sz w:val="32"/>
          <w:szCs w:val="32"/>
          <w:lang w:eastAsia="zh-CN" w:bidi="zh-TW"/>
        </w:rPr>
        <w:t>。</w:t>
      </w:r>
    </w:p>
    <w:p w14:paraId="79D3B825">
      <w:pPr>
        <w:pStyle w:val="25"/>
        <w:keepNext w:val="0"/>
        <w:keepLines w:val="0"/>
        <w:pageBreakBefore w:val="0"/>
        <w:widowControl w:val="0"/>
        <w:tabs>
          <w:tab w:val="left" w:pos="1295"/>
        </w:tabs>
        <w:kinsoku/>
        <w:wordWrap/>
        <w:overflowPunct/>
        <w:topLinePunct w:val="0"/>
        <w:autoSpaceDE/>
        <w:autoSpaceDN/>
        <w:bidi w:val="0"/>
        <w:adjustRightInd/>
        <w:snapToGrid/>
        <w:spacing w:line="560" w:lineRule="exact"/>
        <w:jc w:val="both"/>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（六）总体结论</w:t>
      </w:r>
    </w:p>
    <w:p w14:paraId="2758C964">
      <w:pPr>
        <w:keepNext w:val="0"/>
        <w:keepLines w:val="0"/>
        <w:pageBreakBefore w:val="0"/>
        <w:widowControl w:val="0"/>
        <w:kinsoku/>
        <w:overflowPunct/>
        <w:topLinePunct w:val="0"/>
        <w:autoSpaceDE/>
        <w:autoSpaceDN/>
        <w:bidi w:val="0"/>
        <w:adjustRightInd/>
        <w:snapToGrid/>
        <w:spacing w:line="560" w:lineRule="exact"/>
        <w:ind w:firstLine="640" w:firstLineChars="200"/>
        <w:jc w:val="both"/>
        <w:textAlignment w:val="auto"/>
        <w:rPr>
          <w:rFonts w:ascii="仿宋" w:hAnsi="仿宋" w:eastAsia="仿宋" w:cs="仿宋"/>
          <w:color w:val="auto"/>
          <w:sz w:val="32"/>
          <w:szCs w:val="32"/>
          <w:lang w:eastAsia="zh-CN" w:bidi="zh-TW"/>
        </w:rPr>
      </w:pPr>
      <w:r>
        <w:rPr>
          <w:rFonts w:hint="eastAsia" w:ascii="仿宋" w:hAnsi="仿宋" w:eastAsia="仿宋" w:cs="仿宋"/>
          <w:color w:val="auto"/>
          <w:sz w:val="32"/>
          <w:szCs w:val="32"/>
          <w:lang w:eastAsia="zh-CN" w:bidi="zh-TW"/>
        </w:rPr>
        <w:t>1.根据项目单位提供的资料，经过综合论证，建议对本项目予以支持。</w:t>
      </w:r>
    </w:p>
    <w:p w14:paraId="6DDE4E67">
      <w:pPr>
        <w:keepNext w:val="0"/>
        <w:keepLines w:val="0"/>
        <w:pageBreakBefore w:val="0"/>
        <w:widowControl w:val="0"/>
        <w:kinsoku/>
        <w:overflowPunct/>
        <w:topLinePunct w:val="0"/>
        <w:autoSpaceDE/>
        <w:autoSpaceDN/>
        <w:bidi w:val="0"/>
        <w:adjustRightInd/>
        <w:snapToGrid/>
        <w:spacing w:line="560" w:lineRule="exact"/>
        <w:ind w:firstLine="640" w:firstLineChars="200"/>
        <w:jc w:val="both"/>
        <w:textAlignment w:val="auto"/>
        <w:rPr>
          <w:rFonts w:ascii="仿宋" w:hAnsi="仿宋" w:eastAsia="仿宋" w:cs="仿宋"/>
          <w:sz w:val="32"/>
          <w:szCs w:val="32"/>
          <w:lang w:eastAsia="zh-CN"/>
        </w:rPr>
      </w:pPr>
      <w:r>
        <w:rPr>
          <w:rFonts w:hint="eastAsia" w:ascii="仿宋" w:hAnsi="仿宋" w:eastAsia="仿宋" w:cs="仿宋"/>
          <w:color w:val="auto"/>
          <w:sz w:val="32"/>
          <w:szCs w:val="32"/>
          <w:lang w:eastAsia="zh-CN" w:bidi="zh-TW"/>
        </w:rPr>
        <w:t>2.本项目</w:t>
      </w:r>
      <w:r>
        <w:rPr>
          <w:rFonts w:hint="eastAsia" w:ascii="仿宋" w:hAnsi="仿宋" w:eastAsia="仿宋" w:cs="仿宋"/>
          <w:color w:val="auto"/>
          <w:sz w:val="32"/>
          <w:szCs w:val="32"/>
          <w:lang w:val="en-US" w:eastAsia="zh-CN" w:bidi="zh-TW"/>
        </w:rPr>
        <w:t>经费</w:t>
      </w:r>
      <w:r>
        <w:rPr>
          <w:rFonts w:hint="eastAsia" w:ascii="仿宋" w:hAnsi="仿宋" w:eastAsia="仿宋" w:cs="仿宋"/>
          <w:color w:val="auto"/>
          <w:sz w:val="32"/>
          <w:szCs w:val="32"/>
          <w:lang w:eastAsia="zh-CN" w:bidi="zh-TW"/>
        </w:rPr>
        <w:t>送审预算</w:t>
      </w:r>
      <w:r>
        <w:rPr>
          <w:rFonts w:hint="eastAsia" w:ascii="仿宋" w:hAnsi="仿宋" w:eastAsia="仿宋" w:cs="仿宋"/>
          <w:color w:val="auto"/>
          <w:sz w:val="32"/>
          <w:szCs w:val="32"/>
          <w:lang w:val="en-US" w:eastAsia="zh-CN" w:bidi="zh-TW"/>
        </w:rPr>
        <w:t>400.00</w:t>
      </w:r>
      <w:r>
        <w:rPr>
          <w:rFonts w:hint="eastAsia" w:ascii="仿宋" w:hAnsi="仿宋" w:eastAsia="仿宋" w:cs="仿宋"/>
          <w:color w:val="auto"/>
          <w:sz w:val="32"/>
          <w:szCs w:val="32"/>
          <w:lang w:eastAsia="zh-CN" w:bidi="zh-TW"/>
        </w:rPr>
        <w:t>万元，审定金额</w:t>
      </w:r>
      <w:r>
        <w:rPr>
          <w:rFonts w:hint="eastAsia" w:ascii="仿宋" w:hAnsi="仿宋" w:eastAsia="仿宋" w:cs="仿宋"/>
          <w:color w:val="auto"/>
          <w:sz w:val="32"/>
          <w:szCs w:val="32"/>
          <w:lang w:val="en-US" w:eastAsia="zh-CN" w:bidi="zh-TW"/>
        </w:rPr>
        <w:t>303.70</w:t>
      </w:r>
      <w:r>
        <w:rPr>
          <w:rFonts w:hint="eastAsia" w:ascii="仿宋" w:hAnsi="仿宋" w:eastAsia="仿宋" w:cs="仿宋"/>
          <w:color w:val="auto"/>
          <w:sz w:val="32"/>
          <w:szCs w:val="32"/>
          <w:lang w:eastAsia="zh-CN" w:bidi="zh-TW"/>
        </w:rPr>
        <w:t>万元，审减金额</w:t>
      </w:r>
      <w:r>
        <w:rPr>
          <w:rFonts w:hint="eastAsia" w:ascii="仿宋" w:hAnsi="仿宋" w:eastAsia="仿宋" w:cs="仿宋"/>
          <w:color w:val="auto"/>
          <w:sz w:val="32"/>
          <w:szCs w:val="32"/>
          <w:lang w:val="en-US" w:eastAsia="zh-CN" w:bidi="zh-TW"/>
        </w:rPr>
        <w:t>96.30</w:t>
      </w:r>
      <w:r>
        <w:rPr>
          <w:rFonts w:hint="eastAsia" w:ascii="仿宋" w:hAnsi="仿宋" w:eastAsia="仿宋" w:cs="仿宋"/>
          <w:color w:val="auto"/>
          <w:sz w:val="32"/>
          <w:szCs w:val="32"/>
          <w:lang w:eastAsia="zh-CN" w:bidi="zh-TW"/>
        </w:rPr>
        <w:t>万元，审减率为</w:t>
      </w:r>
      <w:r>
        <w:rPr>
          <w:rFonts w:hint="eastAsia" w:ascii="仿宋" w:hAnsi="仿宋" w:eastAsia="仿宋" w:cs="仿宋"/>
          <w:color w:val="auto"/>
          <w:sz w:val="32"/>
          <w:szCs w:val="32"/>
          <w:lang w:val="en-US" w:eastAsia="zh-CN" w:bidi="zh-TW"/>
        </w:rPr>
        <w:t>24.08</w:t>
      </w:r>
      <w:r>
        <w:rPr>
          <w:rFonts w:hint="eastAsia" w:ascii="仿宋" w:hAnsi="仿宋" w:eastAsia="仿宋" w:cs="仿宋"/>
          <w:color w:val="auto"/>
          <w:sz w:val="32"/>
          <w:szCs w:val="32"/>
          <w:lang w:eastAsia="zh-CN" w:bidi="zh-TW"/>
        </w:rPr>
        <w:t>%。</w:t>
      </w:r>
      <w:r>
        <w:rPr>
          <w:rFonts w:hint="eastAsia" w:ascii="仿宋" w:hAnsi="仿宋" w:eastAsia="仿宋" w:cs="仿宋"/>
          <w:sz w:val="32"/>
          <w:szCs w:val="32"/>
          <w:lang w:eastAsia="zh-CN"/>
        </w:rPr>
        <w:t>评审情况详见下表：</w:t>
      </w:r>
    </w:p>
    <w:p w14:paraId="720060D2">
      <w:pPr>
        <w:pStyle w:val="5"/>
        <w:keepNext w:val="0"/>
        <w:keepLines w:val="0"/>
        <w:pageBreakBefore w:val="0"/>
        <w:widowControl w:val="0"/>
        <w:kinsoku/>
        <w:overflowPunct/>
        <w:topLinePunct w:val="0"/>
        <w:autoSpaceDE/>
        <w:autoSpaceDN/>
        <w:bidi w:val="0"/>
        <w:adjustRightInd/>
        <w:snapToGrid/>
        <w:ind w:firstLine="1506" w:firstLineChars="500"/>
        <w:textAlignment w:val="auto"/>
        <w:rPr>
          <w:rFonts w:ascii="仿宋" w:hAnsi="仿宋" w:eastAsia="仿宋" w:cs="仿宋"/>
          <w:color w:val="auto"/>
          <w:sz w:val="30"/>
          <w:szCs w:val="30"/>
          <w:lang w:eastAsia="zh-CN"/>
        </w:rPr>
      </w:pPr>
      <w:r>
        <w:rPr>
          <w:rFonts w:hint="eastAsia" w:ascii="仿宋" w:hAnsi="仿宋" w:eastAsia="仿宋" w:cs="仿宋"/>
          <w:b/>
          <w:bCs/>
          <w:color w:val="auto"/>
          <w:sz w:val="30"/>
          <w:szCs w:val="30"/>
          <w:lang w:eastAsia="zh-CN"/>
        </w:rPr>
        <w:t>宝鸡</w:t>
      </w:r>
      <w:r>
        <w:rPr>
          <w:rFonts w:hint="eastAsia" w:ascii="仿宋" w:hAnsi="仿宋" w:eastAsia="仿宋" w:cs="仿宋"/>
          <w:b/>
          <w:bCs/>
          <w:color w:val="auto"/>
          <w:sz w:val="30"/>
          <w:szCs w:val="30"/>
          <w:lang w:val="en-US" w:eastAsia="zh-CN"/>
        </w:rPr>
        <w:t>蟠龙高新</w:t>
      </w:r>
      <w:r>
        <w:rPr>
          <w:rFonts w:hint="eastAsia" w:ascii="仿宋" w:hAnsi="仿宋" w:eastAsia="仿宋" w:cs="仿宋"/>
          <w:b/>
          <w:bCs/>
          <w:color w:val="auto"/>
          <w:sz w:val="30"/>
          <w:szCs w:val="30"/>
          <w:lang w:eastAsia="zh-CN"/>
        </w:rPr>
        <w:t>区规划编制经费预算评审表</w:t>
      </w:r>
    </w:p>
    <w:tbl>
      <w:tblPr>
        <w:tblStyle w:val="16"/>
        <w:tblpPr w:leftFromText="181" w:rightFromText="181" w:vertAnchor="text" w:horzAnchor="page" w:tblpX="2140" w:tblpY="59"/>
        <w:tblOverlap w:val="never"/>
        <w:tblW w:w="8490" w:type="dxa"/>
        <w:tblInd w:w="0" w:type="dxa"/>
        <w:tblLayout w:type="fixed"/>
        <w:tblCellMar>
          <w:top w:w="0" w:type="dxa"/>
          <w:left w:w="108" w:type="dxa"/>
          <w:bottom w:w="0" w:type="dxa"/>
          <w:right w:w="108" w:type="dxa"/>
        </w:tblCellMar>
      </w:tblPr>
      <w:tblGrid>
        <w:gridCol w:w="735"/>
        <w:gridCol w:w="4050"/>
        <w:gridCol w:w="1245"/>
        <w:gridCol w:w="1200"/>
        <w:gridCol w:w="1260"/>
      </w:tblGrid>
      <w:tr w14:paraId="2BCC0BFC">
        <w:tblPrEx>
          <w:tblCellMar>
            <w:top w:w="0" w:type="dxa"/>
            <w:left w:w="108" w:type="dxa"/>
            <w:bottom w:w="0" w:type="dxa"/>
            <w:right w:w="108" w:type="dxa"/>
          </w:tblCellMar>
        </w:tblPrEx>
        <w:trPr>
          <w:trHeight w:val="786" w:hRule="exact"/>
        </w:trPr>
        <w:tc>
          <w:tcPr>
            <w:tcW w:w="735" w:type="dxa"/>
            <w:tcBorders>
              <w:top w:val="single" w:color="000000" w:sz="4" w:space="0"/>
              <w:left w:val="nil"/>
              <w:bottom w:val="single" w:color="000000" w:sz="4" w:space="0"/>
              <w:right w:val="single" w:color="000000" w:sz="4" w:space="0"/>
            </w:tcBorders>
            <w:shd w:val="clear" w:color="auto" w:fill="E7E6E6" w:themeFill="background2"/>
            <w:noWrap/>
            <w:vAlign w:val="center"/>
          </w:tcPr>
          <w:p w14:paraId="042B1916">
            <w:pPr>
              <w:keepNext w:val="0"/>
              <w:keepLines w:val="0"/>
              <w:pageBreakBefore w:val="0"/>
              <w:widowControl w:val="0"/>
              <w:kinsoku/>
              <w:overflowPunct/>
              <w:topLinePunct w:val="0"/>
              <w:autoSpaceDE/>
              <w:autoSpaceDN/>
              <w:bidi w:val="0"/>
              <w:adjustRightInd/>
              <w:snapToGrid/>
              <w:jc w:val="center"/>
              <w:textAlignment w:val="auto"/>
              <w:rPr>
                <w:rFonts w:ascii="仿宋" w:hAnsi="仿宋" w:eastAsia="仿宋" w:cs="仿宋"/>
                <w:b/>
                <w:bCs/>
                <w:sz w:val="24"/>
                <w:szCs w:val="24"/>
              </w:rPr>
            </w:pPr>
            <w:r>
              <w:rPr>
                <w:rFonts w:hint="eastAsia" w:ascii="仿宋" w:hAnsi="仿宋" w:eastAsia="仿宋" w:cs="仿宋"/>
                <w:b/>
                <w:bCs/>
                <w:sz w:val="24"/>
                <w:szCs w:val="24"/>
              </w:rPr>
              <w:t>序号</w:t>
            </w:r>
          </w:p>
        </w:tc>
        <w:tc>
          <w:tcPr>
            <w:tcW w:w="4050" w:type="dxa"/>
            <w:tcBorders>
              <w:top w:val="single" w:color="000000" w:sz="4" w:space="0"/>
              <w:left w:val="single" w:color="000000" w:sz="4" w:space="0"/>
              <w:bottom w:val="single" w:color="000000" w:sz="4" w:space="0"/>
              <w:right w:val="single" w:color="000000" w:sz="4" w:space="0"/>
            </w:tcBorders>
            <w:shd w:val="clear" w:color="auto" w:fill="E7E6E6" w:themeFill="background2"/>
            <w:vAlign w:val="center"/>
          </w:tcPr>
          <w:p w14:paraId="681E738F">
            <w:pPr>
              <w:keepNext w:val="0"/>
              <w:keepLines w:val="0"/>
              <w:pageBreakBefore w:val="0"/>
              <w:widowControl w:val="0"/>
              <w:kinsoku/>
              <w:overflowPunct/>
              <w:topLinePunct w:val="0"/>
              <w:autoSpaceDE/>
              <w:autoSpaceDN/>
              <w:bidi w:val="0"/>
              <w:adjustRightInd/>
              <w:snapToGrid/>
              <w:jc w:val="center"/>
              <w:textAlignment w:val="auto"/>
              <w:rPr>
                <w:rFonts w:ascii="仿宋" w:hAnsi="仿宋" w:eastAsia="仿宋" w:cs="仿宋"/>
                <w:b/>
                <w:bCs/>
                <w:sz w:val="24"/>
                <w:szCs w:val="24"/>
              </w:rPr>
            </w:pPr>
            <w:r>
              <w:rPr>
                <w:rFonts w:hint="eastAsia" w:ascii="仿宋" w:hAnsi="仿宋" w:eastAsia="仿宋" w:cs="仿宋"/>
                <w:b/>
                <w:bCs/>
                <w:sz w:val="24"/>
                <w:szCs w:val="24"/>
              </w:rPr>
              <w:t>项目名称</w:t>
            </w:r>
          </w:p>
        </w:tc>
        <w:tc>
          <w:tcPr>
            <w:tcW w:w="1245" w:type="dxa"/>
            <w:tcBorders>
              <w:top w:val="single" w:color="000000" w:sz="4" w:space="0"/>
              <w:left w:val="single" w:color="000000" w:sz="4" w:space="0"/>
              <w:bottom w:val="single" w:color="000000" w:sz="4" w:space="0"/>
              <w:right w:val="single" w:color="000000" w:sz="4" w:space="0"/>
            </w:tcBorders>
            <w:shd w:val="clear" w:color="auto" w:fill="E7E6E6" w:themeFill="background2"/>
            <w:vAlign w:val="center"/>
          </w:tcPr>
          <w:p w14:paraId="1391062C">
            <w:pPr>
              <w:keepNext w:val="0"/>
              <w:keepLines w:val="0"/>
              <w:pageBreakBefore w:val="0"/>
              <w:widowControl w:val="0"/>
              <w:kinsoku/>
              <w:overflowPunct/>
              <w:topLinePunct w:val="0"/>
              <w:autoSpaceDE/>
              <w:autoSpaceDN/>
              <w:bidi w:val="0"/>
              <w:adjustRightInd/>
              <w:snapToGrid/>
              <w:jc w:val="center"/>
              <w:textAlignment w:val="auto"/>
              <w:rPr>
                <w:rFonts w:ascii="仿宋" w:hAnsi="仿宋" w:eastAsia="仿宋" w:cs="仿宋"/>
                <w:b/>
                <w:bCs/>
                <w:sz w:val="24"/>
                <w:szCs w:val="24"/>
              </w:rPr>
            </w:pPr>
            <w:r>
              <w:rPr>
                <w:rFonts w:hint="eastAsia" w:ascii="仿宋" w:hAnsi="仿宋" w:eastAsia="仿宋" w:cs="仿宋"/>
                <w:b/>
                <w:bCs/>
                <w:sz w:val="24"/>
                <w:szCs w:val="24"/>
              </w:rPr>
              <w:t>送审金额（万元）</w:t>
            </w:r>
          </w:p>
        </w:tc>
        <w:tc>
          <w:tcPr>
            <w:tcW w:w="1200" w:type="dxa"/>
            <w:tcBorders>
              <w:top w:val="single" w:color="000000" w:sz="4" w:space="0"/>
              <w:left w:val="single" w:color="000000" w:sz="4" w:space="0"/>
              <w:bottom w:val="single" w:color="000000" w:sz="4" w:space="0"/>
              <w:right w:val="single" w:color="000000" w:sz="4" w:space="0"/>
            </w:tcBorders>
            <w:shd w:val="clear" w:color="auto" w:fill="E7E6E6" w:themeFill="background2"/>
            <w:vAlign w:val="center"/>
          </w:tcPr>
          <w:p w14:paraId="326A0780">
            <w:pPr>
              <w:keepNext w:val="0"/>
              <w:keepLines w:val="0"/>
              <w:pageBreakBefore w:val="0"/>
              <w:widowControl w:val="0"/>
              <w:kinsoku/>
              <w:overflowPunct/>
              <w:topLinePunct w:val="0"/>
              <w:autoSpaceDE/>
              <w:autoSpaceDN/>
              <w:bidi w:val="0"/>
              <w:adjustRightInd/>
              <w:snapToGrid/>
              <w:jc w:val="center"/>
              <w:textAlignment w:val="auto"/>
              <w:rPr>
                <w:rFonts w:ascii="仿宋" w:hAnsi="仿宋" w:eastAsia="仿宋" w:cs="仿宋"/>
                <w:b/>
                <w:bCs/>
                <w:sz w:val="24"/>
                <w:szCs w:val="24"/>
              </w:rPr>
            </w:pPr>
            <w:r>
              <w:rPr>
                <w:rFonts w:hint="eastAsia" w:ascii="仿宋" w:hAnsi="仿宋" w:eastAsia="仿宋" w:cs="仿宋"/>
                <w:b/>
                <w:bCs/>
                <w:sz w:val="24"/>
                <w:szCs w:val="24"/>
              </w:rPr>
              <w:t>审定金额（万元）</w:t>
            </w:r>
          </w:p>
        </w:tc>
        <w:tc>
          <w:tcPr>
            <w:tcW w:w="1260" w:type="dxa"/>
            <w:tcBorders>
              <w:top w:val="single" w:color="000000" w:sz="4" w:space="0"/>
              <w:left w:val="single" w:color="000000" w:sz="4" w:space="0"/>
              <w:bottom w:val="single" w:color="000000" w:sz="4" w:space="0"/>
              <w:right w:val="nil"/>
            </w:tcBorders>
            <w:shd w:val="clear" w:color="auto" w:fill="E7E6E6" w:themeFill="background2"/>
            <w:vAlign w:val="center"/>
          </w:tcPr>
          <w:p w14:paraId="53618674">
            <w:pPr>
              <w:keepNext w:val="0"/>
              <w:keepLines w:val="0"/>
              <w:pageBreakBefore w:val="0"/>
              <w:widowControl w:val="0"/>
              <w:kinsoku/>
              <w:overflowPunct/>
              <w:topLinePunct w:val="0"/>
              <w:autoSpaceDE/>
              <w:autoSpaceDN/>
              <w:bidi w:val="0"/>
              <w:adjustRightInd/>
              <w:snapToGrid/>
              <w:jc w:val="center"/>
              <w:textAlignment w:val="auto"/>
              <w:rPr>
                <w:rFonts w:ascii="仿宋" w:hAnsi="仿宋" w:eastAsia="仿宋" w:cs="仿宋"/>
                <w:b/>
                <w:bCs/>
                <w:sz w:val="24"/>
                <w:szCs w:val="24"/>
              </w:rPr>
            </w:pPr>
            <w:r>
              <w:rPr>
                <w:rFonts w:hint="eastAsia" w:ascii="仿宋" w:hAnsi="仿宋" w:eastAsia="仿宋" w:cs="仿宋"/>
                <w:b/>
                <w:bCs/>
                <w:sz w:val="24"/>
                <w:szCs w:val="24"/>
              </w:rPr>
              <w:t>审减金额（万元）</w:t>
            </w:r>
          </w:p>
        </w:tc>
      </w:tr>
      <w:tr w14:paraId="6DCEF582">
        <w:tblPrEx>
          <w:tblCellMar>
            <w:top w:w="0" w:type="dxa"/>
            <w:left w:w="108" w:type="dxa"/>
            <w:bottom w:w="0" w:type="dxa"/>
            <w:right w:w="108" w:type="dxa"/>
          </w:tblCellMar>
        </w:tblPrEx>
        <w:trPr>
          <w:trHeight w:val="580" w:hRule="exact"/>
        </w:trPr>
        <w:tc>
          <w:tcPr>
            <w:tcW w:w="735" w:type="dxa"/>
            <w:tcBorders>
              <w:top w:val="single" w:color="000000" w:sz="4" w:space="0"/>
              <w:left w:val="nil"/>
              <w:bottom w:val="single" w:color="000000" w:sz="4" w:space="0"/>
              <w:right w:val="single" w:color="000000" w:sz="4" w:space="0"/>
            </w:tcBorders>
            <w:shd w:val="clear" w:color="auto" w:fill="auto"/>
            <w:noWrap/>
            <w:vAlign w:val="center"/>
          </w:tcPr>
          <w:p w14:paraId="14411BB1">
            <w:pPr>
              <w:keepNext w:val="0"/>
              <w:keepLines w:val="0"/>
              <w:pageBreakBefore w:val="0"/>
              <w:widowControl w:val="0"/>
              <w:kinsoku/>
              <w:overflowPunct/>
              <w:topLinePunct w:val="0"/>
              <w:autoSpaceDE/>
              <w:autoSpaceDN/>
              <w:bidi w:val="0"/>
              <w:adjustRightInd/>
              <w:snapToGrid/>
              <w:jc w:val="center"/>
              <w:textAlignment w:val="auto"/>
              <w:rPr>
                <w:rFonts w:ascii="仿宋" w:hAnsi="仿宋" w:eastAsia="仿宋" w:cs="仿宋"/>
                <w:sz w:val="24"/>
                <w:szCs w:val="24"/>
              </w:rPr>
            </w:pPr>
            <w:r>
              <w:rPr>
                <w:rFonts w:hint="eastAsia" w:ascii="仿宋" w:hAnsi="仿宋" w:eastAsia="仿宋" w:cs="仿宋"/>
                <w:sz w:val="24"/>
                <w:szCs w:val="24"/>
              </w:rPr>
              <w:t>1</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09193">
            <w:pPr>
              <w:keepNext w:val="0"/>
              <w:keepLines w:val="0"/>
              <w:pageBreakBefore w:val="0"/>
              <w:widowControl w:val="0"/>
              <w:kinsoku/>
              <w:overflowPunct/>
              <w:topLinePunct w:val="0"/>
              <w:autoSpaceDE/>
              <w:autoSpaceDN/>
              <w:bidi w:val="0"/>
              <w:adjustRightInd/>
              <w:snapToGrid/>
              <w:ind w:firstLine="240" w:firstLineChars="100"/>
              <w:jc w:val="center"/>
              <w:textAlignment w:val="auto"/>
              <w:rPr>
                <w:rFonts w:ascii="仿宋" w:hAnsi="仿宋" w:eastAsia="仿宋" w:cs="仿宋"/>
                <w:sz w:val="24"/>
                <w:szCs w:val="24"/>
              </w:rPr>
            </w:pPr>
            <w:r>
              <w:rPr>
                <w:rFonts w:hint="eastAsia" w:ascii="仿宋" w:hAnsi="仿宋" w:eastAsia="仿宋" w:cs="仿宋"/>
                <w:sz w:val="24"/>
                <w:szCs w:val="24"/>
                <w:lang w:val="en-US" w:eastAsia="zh-CN"/>
              </w:rPr>
              <w:t>总体规划</w:t>
            </w:r>
            <w:r>
              <w:rPr>
                <w:rFonts w:hint="eastAsia" w:ascii="仿宋" w:hAnsi="仿宋" w:eastAsia="仿宋" w:cs="仿宋"/>
                <w:sz w:val="24"/>
                <w:szCs w:val="24"/>
                <w:lang w:eastAsia="zh-CN"/>
              </w:rPr>
              <w:t>经费</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14A67">
            <w:pPr>
              <w:keepNext w:val="0"/>
              <w:keepLines w:val="0"/>
              <w:pageBreakBefore w:val="0"/>
              <w:widowControl w:val="0"/>
              <w:kinsoku/>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77.625</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A405">
            <w:pPr>
              <w:keepNext w:val="0"/>
              <w:keepLines w:val="0"/>
              <w:pageBreakBefore w:val="0"/>
              <w:widowControl w:val="0"/>
              <w:kinsoku/>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0.00</w:t>
            </w:r>
          </w:p>
        </w:tc>
        <w:tc>
          <w:tcPr>
            <w:tcW w:w="1260" w:type="dxa"/>
            <w:tcBorders>
              <w:top w:val="single" w:color="000000" w:sz="4" w:space="0"/>
              <w:left w:val="single" w:color="000000" w:sz="4" w:space="0"/>
              <w:bottom w:val="single" w:color="000000" w:sz="4" w:space="0"/>
              <w:right w:val="nil"/>
            </w:tcBorders>
            <w:shd w:val="clear" w:color="auto" w:fill="auto"/>
            <w:vAlign w:val="center"/>
          </w:tcPr>
          <w:p w14:paraId="5EC607D7">
            <w:pPr>
              <w:keepNext w:val="0"/>
              <w:keepLines w:val="0"/>
              <w:pageBreakBefore w:val="0"/>
              <w:widowControl w:val="0"/>
              <w:kinsoku/>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77.625</w:t>
            </w:r>
          </w:p>
        </w:tc>
      </w:tr>
      <w:tr w14:paraId="07AEAF65">
        <w:tblPrEx>
          <w:tblCellMar>
            <w:top w:w="0" w:type="dxa"/>
            <w:left w:w="108" w:type="dxa"/>
            <w:bottom w:w="0" w:type="dxa"/>
            <w:right w:w="108" w:type="dxa"/>
          </w:tblCellMar>
        </w:tblPrEx>
        <w:trPr>
          <w:trHeight w:val="456" w:hRule="exact"/>
        </w:trPr>
        <w:tc>
          <w:tcPr>
            <w:tcW w:w="735" w:type="dxa"/>
            <w:tcBorders>
              <w:top w:val="single" w:color="000000" w:sz="4" w:space="0"/>
              <w:left w:val="nil"/>
              <w:bottom w:val="single" w:color="000000" w:sz="4" w:space="0"/>
              <w:right w:val="single" w:color="000000" w:sz="4" w:space="0"/>
            </w:tcBorders>
            <w:shd w:val="clear" w:color="auto" w:fill="auto"/>
            <w:noWrap/>
            <w:vAlign w:val="center"/>
          </w:tcPr>
          <w:p w14:paraId="56D3E60A">
            <w:pPr>
              <w:keepNext w:val="0"/>
              <w:keepLines w:val="0"/>
              <w:pageBreakBefore w:val="0"/>
              <w:widowControl w:val="0"/>
              <w:kinsoku/>
              <w:overflowPunct/>
              <w:topLinePunct w:val="0"/>
              <w:autoSpaceDE/>
              <w:autoSpaceDN/>
              <w:bidi w:val="0"/>
              <w:adjustRightInd/>
              <w:snapToGrid/>
              <w:jc w:val="center"/>
              <w:textAlignment w:val="auto"/>
              <w:rPr>
                <w:rFonts w:ascii="仿宋" w:hAnsi="仿宋" w:eastAsia="仿宋" w:cs="仿宋"/>
                <w:sz w:val="24"/>
                <w:szCs w:val="24"/>
              </w:rPr>
            </w:pPr>
            <w:r>
              <w:rPr>
                <w:rFonts w:hint="eastAsia" w:ascii="仿宋" w:hAnsi="仿宋" w:eastAsia="仿宋" w:cs="仿宋"/>
                <w:sz w:val="24"/>
                <w:szCs w:val="24"/>
              </w:rPr>
              <w:t>2</w:t>
            </w: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ADB60">
            <w:pPr>
              <w:keepNext w:val="0"/>
              <w:keepLines w:val="0"/>
              <w:pageBreakBefore w:val="0"/>
              <w:widowControl w:val="0"/>
              <w:kinsoku/>
              <w:overflowPunct/>
              <w:topLinePunct w:val="0"/>
              <w:autoSpaceDE/>
              <w:autoSpaceDN/>
              <w:bidi w:val="0"/>
              <w:adjustRightInd/>
              <w:snapToGrid/>
              <w:jc w:val="center"/>
              <w:textAlignment w:val="auto"/>
              <w:rPr>
                <w:rFonts w:ascii="仿宋" w:hAnsi="仿宋" w:eastAsia="仿宋" w:cs="仿宋"/>
                <w:sz w:val="24"/>
                <w:szCs w:val="24"/>
              </w:rPr>
            </w:pPr>
            <w:r>
              <w:rPr>
                <w:rFonts w:hint="eastAsia" w:ascii="仿宋" w:hAnsi="仿宋" w:eastAsia="仿宋" w:cs="仿宋"/>
                <w:sz w:val="24"/>
                <w:szCs w:val="24"/>
                <w:lang w:val="en-US" w:eastAsia="zh-CN"/>
              </w:rPr>
              <w:t xml:space="preserve">控制性详细规划经费 </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A71B">
            <w:pPr>
              <w:keepNext w:val="0"/>
              <w:keepLines w:val="0"/>
              <w:pageBreakBefore w:val="0"/>
              <w:widowControl w:val="0"/>
              <w:kinsoku/>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325.395</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CF717">
            <w:pPr>
              <w:keepNext w:val="0"/>
              <w:keepLines w:val="0"/>
              <w:pageBreakBefore w:val="0"/>
              <w:widowControl w:val="0"/>
              <w:kinsoku/>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303.70</w:t>
            </w:r>
          </w:p>
        </w:tc>
        <w:tc>
          <w:tcPr>
            <w:tcW w:w="1260" w:type="dxa"/>
            <w:tcBorders>
              <w:top w:val="single" w:color="000000" w:sz="4" w:space="0"/>
              <w:left w:val="single" w:color="000000" w:sz="4" w:space="0"/>
              <w:bottom w:val="single" w:color="000000" w:sz="4" w:space="0"/>
              <w:right w:val="nil"/>
            </w:tcBorders>
            <w:shd w:val="clear" w:color="auto" w:fill="auto"/>
            <w:vAlign w:val="center"/>
          </w:tcPr>
          <w:p w14:paraId="2691EC21">
            <w:pPr>
              <w:keepNext w:val="0"/>
              <w:keepLines w:val="0"/>
              <w:pageBreakBefore w:val="0"/>
              <w:widowControl w:val="0"/>
              <w:kinsoku/>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21.695</w:t>
            </w:r>
          </w:p>
        </w:tc>
      </w:tr>
      <w:tr w14:paraId="262E51CE">
        <w:tblPrEx>
          <w:tblCellMar>
            <w:top w:w="0" w:type="dxa"/>
            <w:left w:w="108" w:type="dxa"/>
            <w:bottom w:w="0" w:type="dxa"/>
            <w:right w:w="108" w:type="dxa"/>
          </w:tblCellMar>
        </w:tblPrEx>
        <w:trPr>
          <w:trHeight w:val="489" w:hRule="exact"/>
        </w:trPr>
        <w:tc>
          <w:tcPr>
            <w:tcW w:w="735" w:type="dxa"/>
            <w:tcBorders>
              <w:top w:val="single" w:color="000000" w:sz="4" w:space="0"/>
              <w:left w:val="nil"/>
              <w:bottom w:val="single" w:color="000000" w:sz="4" w:space="0"/>
              <w:right w:val="single" w:color="000000" w:sz="4" w:space="0"/>
            </w:tcBorders>
            <w:shd w:val="clear" w:color="auto" w:fill="auto"/>
            <w:noWrap/>
            <w:vAlign w:val="center"/>
          </w:tcPr>
          <w:p w14:paraId="1392C76B">
            <w:pPr>
              <w:keepNext w:val="0"/>
              <w:keepLines w:val="0"/>
              <w:pageBreakBefore w:val="0"/>
              <w:widowControl w:val="0"/>
              <w:kinsoku/>
              <w:overflowPunct/>
              <w:topLinePunct w:val="0"/>
              <w:autoSpaceDE/>
              <w:autoSpaceDN/>
              <w:bidi w:val="0"/>
              <w:adjustRightInd/>
              <w:snapToGrid/>
              <w:jc w:val="center"/>
              <w:textAlignment w:val="auto"/>
              <w:rPr>
                <w:rFonts w:ascii="仿宋" w:hAnsi="仿宋" w:eastAsia="仿宋" w:cs="仿宋"/>
                <w:sz w:val="24"/>
                <w:szCs w:val="24"/>
                <w:lang w:eastAsia="zh-CN"/>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0A115">
            <w:pPr>
              <w:keepNext w:val="0"/>
              <w:keepLines w:val="0"/>
              <w:pageBreakBefore w:val="0"/>
              <w:widowControl w:val="0"/>
              <w:kinsoku/>
              <w:overflowPunct/>
              <w:topLinePunct w:val="0"/>
              <w:autoSpaceDE/>
              <w:autoSpaceDN/>
              <w:bidi w:val="0"/>
              <w:adjustRightInd/>
              <w:snapToGrid/>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以上小计</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4CA5F">
            <w:pPr>
              <w:keepNext w:val="0"/>
              <w:keepLines w:val="0"/>
              <w:pageBreakBefore w:val="0"/>
              <w:widowControl w:val="0"/>
              <w:kinsoku/>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403.02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30689">
            <w:pPr>
              <w:keepNext w:val="0"/>
              <w:keepLines w:val="0"/>
              <w:pageBreakBefore w:val="0"/>
              <w:widowControl w:val="0"/>
              <w:kinsoku/>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303.70</w:t>
            </w:r>
          </w:p>
        </w:tc>
        <w:tc>
          <w:tcPr>
            <w:tcW w:w="1260" w:type="dxa"/>
            <w:tcBorders>
              <w:top w:val="single" w:color="000000" w:sz="4" w:space="0"/>
              <w:left w:val="single" w:color="000000" w:sz="4" w:space="0"/>
              <w:bottom w:val="single" w:color="000000" w:sz="4" w:space="0"/>
              <w:right w:val="nil"/>
            </w:tcBorders>
            <w:shd w:val="clear" w:color="auto" w:fill="auto"/>
            <w:vAlign w:val="center"/>
          </w:tcPr>
          <w:p w14:paraId="69B66F45">
            <w:pPr>
              <w:keepNext w:val="0"/>
              <w:keepLines w:val="0"/>
              <w:pageBreakBefore w:val="0"/>
              <w:widowControl w:val="0"/>
              <w:kinsoku/>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99.32</w:t>
            </w:r>
          </w:p>
        </w:tc>
      </w:tr>
      <w:tr w14:paraId="3351B92B">
        <w:tblPrEx>
          <w:tblCellMar>
            <w:top w:w="0" w:type="dxa"/>
            <w:left w:w="108" w:type="dxa"/>
            <w:bottom w:w="0" w:type="dxa"/>
            <w:right w:w="108" w:type="dxa"/>
          </w:tblCellMar>
        </w:tblPrEx>
        <w:trPr>
          <w:trHeight w:val="439" w:hRule="exact"/>
        </w:trPr>
        <w:tc>
          <w:tcPr>
            <w:tcW w:w="735" w:type="dxa"/>
            <w:tcBorders>
              <w:top w:val="single" w:color="000000" w:sz="4" w:space="0"/>
              <w:left w:val="nil"/>
              <w:bottom w:val="single" w:color="000000" w:sz="4" w:space="0"/>
              <w:right w:val="single" w:color="000000" w:sz="4" w:space="0"/>
            </w:tcBorders>
            <w:shd w:val="clear" w:color="auto" w:fill="auto"/>
            <w:noWrap/>
            <w:vAlign w:val="center"/>
          </w:tcPr>
          <w:p w14:paraId="40EBD37A">
            <w:pPr>
              <w:keepNext w:val="0"/>
              <w:keepLines w:val="0"/>
              <w:pageBreakBefore w:val="0"/>
              <w:widowControl w:val="0"/>
              <w:kinsoku/>
              <w:overflowPunct/>
              <w:topLinePunct w:val="0"/>
              <w:autoSpaceDE/>
              <w:autoSpaceDN/>
              <w:bidi w:val="0"/>
              <w:adjustRightInd/>
              <w:snapToGrid/>
              <w:jc w:val="center"/>
              <w:textAlignment w:val="auto"/>
              <w:rPr>
                <w:rFonts w:ascii="仿宋" w:hAnsi="仿宋" w:eastAsia="仿宋" w:cs="仿宋"/>
                <w:sz w:val="24"/>
                <w:szCs w:val="24"/>
                <w:lang w:eastAsia="zh-CN"/>
              </w:rPr>
            </w:pPr>
          </w:p>
        </w:tc>
        <w:tc>
          <w:tcPr>
            <w:tcW w:w="4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F9F89">
            <w:pPr>
              <w:keepNext w:val="0"/>
              <w:keepLines w:val="0"/>
              <w:pageBreakBefore w:val="0"/>
              <w:widowControl w:val="0"/>
              <w:kinsoku/>
              <w:overflowPunct/>
              <w:topLinePunct w:val="0"/>
              <w:autoSpaceDE/>
              <w:autoSpaceDN/>
              <w:bidi w:val="0"/>
              <w:adjustRightInd/>
              <w:snapToGrid/>
              <w:jc w:val="center"/>
              <w:textAlignment w:val="auto"/>
              <w:rPr>
                <w:rFonts w:ascii="仿宋" w:hAnsi="仿宋" w:eastAsia="仿宋" w:cs="仿宋"/>
                <w:sz w:val="24"/>
                <w:szCs w:val="24"/>
              </w:rPr>
            </w:pPr>
            <w:r>
              <w:rPr>
                <w:rFonts w:hint="eastAsia" w:ascii="仿宋" w:hAnsi="仿宋" w:eastAsia="仿宋" w:cs="仿宋"/>
                <w:sz w:val="24"/>
                <w:szCs w:val="24"/>
                <w:lang w:val="en-US" w:eastAsia="zh-CN"/>
              </w:rPr>
              <w:t>按申报合计（取整）</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0BD2A">
            <w:pPr>
              <w:keepNext w:val="0"/>
              <w:keepLines w:val="0"/>
              <w:pageBreakBefore w:val="0"/>
              <w:widowControl w:val="0"/>
              <w:kinsoku/>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ascii="仿宋" w:hAnsi="仿宋" w:eastAsia="仿宋" w:cs="仿宋"/>
                <w:sz w:val="24"/>
                <w:szCs w:val="24"/>
                <w:lang w:eastAsia="zh-CN"/>
              </w:rPr>
              <w:t>40</w:t>
            </w:r>
            <w:r>
              <w:rPr>
                <w:rFonts w:hint="eastAsia" w:ascii="仿宋" w:hAnsi="仿宋" w:eastAsia="仿宋" w:cs="仿宋"/>
                <w:sz w:val="24"/>
                <w:szCs w:val="24"/>
                <w:lang w:val="en-US" w:eastAsia="zh-CN"/>
              </w:rPr>
              <w:t>0.00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F7F3F">
            <w:pPr>
              <w:keepNext w:val="0"/>
              <w:keepLines w:val="0"/>
              <w:pageBreakBefore w:val="0"/>
              <w:widowControl w:val="0"/>
              <w:kinsoku/>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303.70</w:t>
            </w:r>
          </w:p>
        </w:tc>
        <w:tc>
          <w:tcPr>
            <w:tcW w:w="1260" w:type="dxa"/>
            <w:tcBorders>
              <w:top w:val="single" w:color="000000" w:sz="4" w:space="0"/>
              <w:left w:val="single" w:color="000000" w:sz="4" w:space="0"/>
              <w:bottom w:val="single" w:color="000000" w:sz="4" w:space="0"/>
              <w:right w:val="nil"/>
            </w:tcBorders>
            <w:shd w:val="clear" w:color="auto" w:fill="auto"/>
            <w:vAlign w:val="center"/>
          </w:tcPr>
          <w:p w14:paraId="3E72A500">
            <w:pPr>
              <w:keepNext w:val="0"/>
              <w:keepLines w:val="0"/>
              <w:pageBreakBefore w:val="0"/>
              <w:widowControl w:val="0"/>
              <w:kinsoku/>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96.30</w:t>
            </w:r>
          </w:p>
        </w:tc>
      </w:tr>
    </w:tbl>
    <w:p w14:paraId="79CD5E7D">
      <w:pPr>
        <w:keepNext w:val="0"/>
        <w:keepLines w:val="0"/>
        <w:pageBreakBefore w:val="0"/>
        <w:widowControl w:val="0"/>
        <w:kinsoku/>
        <w:wordWrap w:val="0"/>
        <w:overflowPunct/>
        <w:topLinePunct w:val="0"/>
        <w:autoSpaceDE/>
        <w:autoSpaceDN/>
        <w:bidi w:val="0"/>
        <w:adjustRightInd/>
        <w:snapToGrid/>
        <w:spacing w:line="560" w:lineRule="exact"/>
        <w:ind w:firstLine="643" w:firstLineChars="200"/>
        <w:jc w:val="both"/>
        <w:textAlignment w:val="auto"/>
        <w:rPr>
          <w:rFonts w:ascii="仿宋" w:hAnsi="仿宋" w:eastAsia="仿宋" w:cs="仿宋"/>
          <w:b/>
          <w:bCs/>
          <w:color w:val="auto"/>
          <w:sz w:val="32"/>
          <w:szCs w:val="32"/>
          <w:lang w:eastAsia="zh-CN" w:bidi="zh-TW"/>
        </w:rPr>
      </w:pPr>
      <w:r>
        <w:rPr>
          <w:rFonts w:hint="eastAsia" w:ascii="仿宋" w:hAnsi="仿宋" w:eastAsia="仿宋" w:cs="仿宋"/>
          <w:b/>
          <w:bCs/>
          <w:color w:val="auto"/>
          <w:sz w:val="32"/>
          <w:szCs w:val="32"/>
          <w:lang w:val="en-US" w:eastAsia="zh-CN" w:bidi="zh-TW"/>
        </w:rPr>
        <w:t>3</w:t>
      </w:r>
      <w:r>
        <w:rPr>
          <w:rFonts w:hint="eastAsia" w:ascii="仿宋" w:hAnsi="仿宋" w:eastAsia="仿宋" w:cs="仿宋"/>
          <w:b/>
          <w:bCs/>
          <w:color w:val="auto"/>
          <w:sz w:val="32"/>
          <w:szCs w:val="32"/>
          <w:lang w:eastAsia="zh-CN" w:bidi="zh-TW"/>
        </w:rPr>
        <w:t>.审减原因和依据</w:t>
      </w:r>
    </w:p>
    <w:p w14:paraId="2EBD455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 w:hAnsi="仿宋" w:eastAsia="仿宋" w:cs="仿宋"/>
          <w:sz w:val="32"/>
          <w:szCs w:val="32"/>
          <w:lang w:eastAsia="zh-CN"/>
        </w:rPr>
      </w:pPr>
      <w:r>
        <w:rPr>
          <w:rFonts w:hint="eastAsia" w:ascii="仿宋" w:hAnsi="仿宋" w:eastAsia="仿宋" w:cs="仿宋"/>
          <w:color w:val="auto"/>
          <w:sz w:val="32"/>
          <w:szCs w:val="32"/>
          <w:lang w:eastAsia="zh-CN" w:bidi="zh-TW"/>
        </w:rPr>
        <w:t>依据</w:t>
      </w:r>
      <w:r>
        <w:rPr>
          <w:rFonts w:hint="eastAsia" w:ascii="仿宋" w:hAnsi="仿宋" w:eastAsia="仿宋" w:cs="仿宋"/>
          <w:sz w:val="32"/>
          <w:szCs w:val="32"/>
          <w:lang w:eastAsia="zh-CN"/>
        </w:rPr>
        <w:t>《国家发改委关于进一步放开建设项目专业服务价格的通知》（发改价格</w:t>
      </w:r>
      <w:r>
        <w:rPr>
          <w:rFonts w:hint="eastAsia" w:ascii="仿宋" w:hAnsi="仿宋" w:eastAsia="仿宋" w:cs="仿宋"/>
          <w:color w:val="auto"/>
          <w:sz w:val="32"/>
          <w:szCs w:val="32"/>
          <w:lang w:eastAsia="zh-CN"/>
        </w:rPr>
        <w:t>〔2015〕</w:t>
      </w:r>
      <w:r>
        <w:rPr>
          <w:rFonts w:hint="eastAsia" w:ascii="仿宋" w:hAnsi="仿宋" w:eastAsia="仿宋" w:cs="仿宋"/>
          <w:sz w:val="32"/>
          <w:szCs w:val="32"/>
          <w:lang w:eastAsia="zh-CN"/>
        </w:rPr>
        <w:t>299号）等有关文件精神，规划设计收费实行市场调节价</w:t>
      </w:r>
      <w:r>
        <w:rPr>
          <w:rFonts w:hint="eastAsia" w:ascii="仿宋" w:hAnsi="仿宋" w:eastAsia="仿宋" w:cs="仿宋"/>
          <w:sz w:val="32"/>
          <w:szCs w:val="32"/>
          <w:lang w:val="en-US" w:eastAsia="zh-CN"/>
        </w:rPr>
        <w:t>格</w:t>
      </w:r>
      <w:r>
        <w:rPr>
          <w:rFonts w:hint="eastAsia" w:ascii="仿宋" w:hAnsi="仿宋" w:eastAsia="仿宋" w:cs="仿宋"/>
          <w:sz w:val="32"/>
          <w:szCs w:val="32"/>
          <w:lang w:eastAsia="zh-CN"/>
        </w:rPr>
        <w:t>。</w:t>
      </w:r>
      <w:r>
        <w:rPr>
          <w:rFonts w:hint="eastAsia" w:ascii="仿宋" w:hAnsi="仿宋" w:eastAsia="仿宋" w:cs="仿宋_GB2312"/>
          <w:color w:val="auto"/>
          <w:sz w:val="32"/>
          <w:szCs w:val="32"/>
          <w:lang w:eastAsia="zh-CN" w:bidi="zh-TW"/>
        </w:rPr>
        <w:t>中国城乡规划协会制定的</w:t>
      </w:r>
      <w:r>
        <w:rPr>
          <w:rFonts w:hint="eastAsia" w:ascii="仿宋" w:hAnsi="仿宋" w:eastAsia="仿宋" w:cs="仿宋"/>
          <w:sz w:val="32"/>
          <w:szCs w:val="32"/>
          <w:lang w:eastAsia="zh-CN"/>
        </w:rPr>
        <w:t>《城市规划设计计费指导意见》（2017修订版）作为行业参考</w:t>
      </w:r>
      <w:r>
        <w:rPr>
          <w:rFonts w:hint="eastAsia" w:ascii="仿宋" w:hAnsi="仿宋" w:eastAsia="仿宋" w:cs="仿宋"/>
          <w:sz w:val="32"/>
          <w:szCs w:val="32"/>
          <w:lang w:val="en-US" w:eastAsia="zh-CN"/>
        </w:rPr>
        <w:t>标准</w:t>
      </w:r>
      <w:r>
        <w:rPr>
          <w:rFonts w:hint="eastAsia" w:ascii="仿宋" w:hAnsi="仿宋" w:eastAsia="仿宋" w:cs="仿宋"/>
          <w:sz w:val="32"/>
          <w:szCs w:val="32"/>
          <w:lang w:eastAsia="zh-CN"/>
        </w:rPr>
        <w:t>，</w:t>
      </w:r>
      <w:r>
        <w:rPr>
          <w:rFonts w:hint="eastAsia" w:ascii="仿宋" w:hAnsi="仿宋" w:eastAsia="仿宋" w:cs="仿宋_GB2312"/>
          <w:color w:val="auto"/>
          <w:sz w:val="32"/>
          <w:szCs w:val="32"/>
          <w:lang w:eastAsia="zh-CN"/>
        </w:rPr>
        <w:t>目前，市场收费基本上是按照该计费标准下浮</w:t>
      </w:r>
      <w:r>
        <w:rPr>
          <w:rFonts w:hint="eastAsia" w:ascii="仿宋" w:hAnsi="仿宋" w:eastAsia="仿宋" w:cs="仿宋"/>
          <w:sz w:val="32"/>
          <w:szCs w:val="32"/>
          <w:lang w:eastAsia="zh-CN"/>
        </w:rPr>
        <w:t>确定。</w:t>
      </w:r>
      <w:r>
        <w:rPr>
          <w:rFonts w:hint="eastAsia" w:ascii="仿宋" w:hAnsi="仿宋" w:eastAsia="仿宋" w:cs="仿宋"/>
          <w:color w:val="auto"/>
          <w:sz w:val="32"/>
          <w:szCs w:val="32"/>
          <w:lang w:eastAsia="zh-CN" w:bidi="zh-TW"/>
        </w:rPr>
        <w:t>经过专家组评审</w:t>
      </w:r>
      <w:r>
        <w:rPr>
          <w:rFonts w:hint="eastAsia" w:ascii="仿宋" w:hAnsi="仿宋" w:eastAsia="仿宋" w:cs="仿宋"/>
          <w:sz w:val="32"/>
          <w:szCs w:val="32"/>
          <w:lang w:eastAsia="zh-CN"/>
        </w:rPr>
        <w:t>，综合评定意见为：</w:t>
      </w:r>
    </w:p>
    <w:p w14:paraId="249FDC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1" w:firstLineChars="100"/>
        <w:jc w:val="both"/>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（1）总体规划工作计费</w:t>
      </w:r>
    </w:p>
    <w:p w14:paraId="6642ED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sz w:val="32"/>
          <w:szCs w:val="32"/>
          <w:highlight w:val="none"/>
          <w:lang w:val="en-US" w:eastAsia="zh-CN"/>
        </w:rPr>
        <w:t>项目单位</w:t>
      </w:r>
      <w:r>
        <w:rPr>
          <w:rFonts w:hint="eastAsia" w:ascii="仿宋" w:hAnsi="仿宋" w:eastAsia="仿宋" w:cs="仿宋"/>
          <w:sz w:val="32"/>
          <w:szCs w:val="32"/>
          <w:highlight w:val="none"/>
          <w:lang w:eastAsia="zh-CN"/>
        </w:rPr>
        <w:t>申请</w:t>
      </w:r>
      <w:r>
        <w:rPr>
          <w:rFonts w:hint="eastAsia" w:ascii="仿宋" w:hAnsi="仿宋" w:eastAsia="仿宋" w:cs="仿宋"/>
          <w:sz w:val="32"/>
          <w:szCs w:val="32"/>
          <w:highlight w:val="none"/>
          <w:lang w:val="en-US" w:eastAsia="zh-CN"/>
        </w:rPr>
        <w:t>总体规划</w:t>
      </w:r>
      <w:r>
        <w:rPr>
          <w:rFonts w:hint="eastAsia" w:ascii="仿宋" w:hAnsi="仿宋" w:eastAsia="仿宋" w:cs="仿宋"/>
          <w:sz w:val="32"/>
          <w:szCs w:val="32"/>
          <w:highlight w:val="none"/>
          <w:lang w:eastAsia="zh-CN"/>
        </w:rPr>
        <w:t>经费</w:t>
      </w:r>
      <w:r>
        <w:rPr>
          <w:rFonts w:hint="eastAsia" w:ascii="仿宋" w:hAnsi="仿宋" w:eastAsia="仿宋" w:cs="仿宋"/>
          <w:sz w:val="32"/>
          <w:szCs w:val="32"/>
          <w:highlight w:val="none"/>
          <w:lang w:val="en-US" w:eastAsia="zh-CN"/>
        </w:rPr>
        <w:t>258.75*0.3=77.625</w:t>
      </w:r>
      <w:r>
        <w:rPr>
          <w:rFonts w:hint="eastAsia" w:ascii="仿宋" w:hAnsi="仿宋" w:eastAsia="仿宋" w:cs="仿宋"/>
          <w:sz w:val="32"/>
          <w:szCs w:val="32"/>
          <w:highlight w:val="none"/>
          <w:lang w:eastAsia="zh-CN"/>
        </w:rPr>
        <w:t>万元。</w:t>
      </w:r>
    </w:p>
    <w:p w14:paraId="6640A5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评审组</w:t>
      </w:r>
      <w:r>
        <w:rPr>
          <w:rFonts w:hint="eastAsia" w:ascii="仿宋" w:hAnsi="仿宋" w:eastAsia="仿宋" w:cs="仿宋"/>
          <w:sz w:val="32"/>
          <w:szCs w:val="32"/>
          <w:highlight w:val="none"/>
          <w:lang w:eastAsia="zh-CN"/>
        </w:rPr>
        <w:t>认为</w:t>
      </w:r>
      <w:r>
        <w:rPr>
          <w:rFonts w:hint="eastAsia" w:ascii="仿宋" w:hAnsi="仿宋" w:eastAsia="仿宋" w:cs="仿宋"/>
          <w:sz w:val="32"/>
          <w:szCs w:val="32"/>
          <w:highlight w:val="none"/>
          <w:lang w:val="en-US" w:eastAsia="zh-CN"/>
        </w:rPr>
        <w:t>此项费用属于</w:t>
      </w:r>
      <w:r>
        <w:rPr>
          <w:rFonts w:hint="eastAsia" w:ascii="仿宋" w:hAnsi="仿宋" w:eastAsia="仿宋" w:cs="仿宋"/>
          <w:color w:val="auto"/>
          <w:sz w:val="32"/>
          <w:szCs w:val="32"/>
          <w:highlight w:val="none"/>
          <w:lang w:eastAsia="zh-CN" w:bidi="zh-TW"/>
        </w:rPr>
        <w:t>宝鸡市国土空间总体规划</w:t>
      </w:r>
      <w:r>
        <w:rPr>
          <w:rFonts w:hint="eastAsia" w:ascii="仿宋" w:hAnsi="仿宋" w:eastAsia="仿宋" w:cs="仿宋"/>
          <w:color w:val="auto"/>
          <w:sz w:val="32"/>
          <w:szCs w:val="32"/>
          <w:highlight w:val="none"/>
          <w:lang w:val="en-US" w:eastAsia="zh-CN" w:bidi="zh-TW"/>
        </w:rPr>
        <w:t>层面内容</w:t>
      </w:r>
      <w:r>
        <w:rPr>
          <w:rFonts w:hint="eastAsia" w:ascii="仿宋" w:hAnsi="仿宋" w:eastAsia="仿宋" w:cs="仿宋"/>
          <w:sz w:val="32"/>
          <w:szCs w:val="32"/>
          <w:highlight w:val="none"/>
          <w:lang w:val="en-US" w:eastAsia="zh-CN"/>
        </w:rPr>
        <w:t>，</w:t>
      </w:r>
      <w:r>
        <w:rPr>
          <w:rFonts w:hint="eastAsia" w:ascii="仿宋" w:hAnsi="仿宋" w:eastAsia="仿宋" w:cs="仿宋"/>
          <w:sz w:val="30"/>
          <w:szCs w:val="30"/>
          <w:highlight w:val="none"/>
          <w:lang w:val="en-US" w:eastAsia="zh-CN"/>
        </w:rPr>
        <w:t>因市上这次未要求做总体规划，故这项费用全部审减。</w:t>
      </w:r>
    </w:p>
    <w:p w14:paraId="56B467DA">
      <w:pPr>
        <w:keepNext w:val="0"/>
        <w:keepLines w:val="0"/>
        <w:pageBreakBefore w:val="0"/>
        <w:widowControl w:val="0"/>
        <w:kinsoku/>
        <w:wordWrap/>
        <w:overflowPunct/>
        <w:topLinePunct w:val="0"/>
        <w:autoSpaceDE/>
        <w:autoSpaceDN/>
        <w:bidi w:val="0"/>
        <w:adjustRightInd/>
        <w:snapToGrid/>
        <w:spacing w:line="560" w:lineRule="exact"/>
        <w:ind w:firstLine="321" w:firstLineChars="100"/>
        <w:textAlignment w:val="auto"/>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（2）</w:t>
      </w:r>
      <w:r>
        <w:rPr>
          <w:rFonts w:hint="eastAsia" w:ascii="仿宋" w:hAnsi="仿宋" w:eastAsia="仿宋" w:cs="仿宋"/>
          <w:b/>
          <w:bCs/>
          <w:color w:val="auto"/>
          <w:sz w:val="32"/>
          <w:szCs w:val="32"/>
          <w:highlight w:val="none"/>
          <w:lang w:val="en-US" w:eastAsia="zh-CN"/>
        </w:rPr>
        <w:t>控制性详</w:t>
      </w:r>
      <w:r>
        <w:rPr>
          <w:rFonts w:hint="eastAsia" w:ascii="仿宋" w:hAnsi="仿宋" w:eastAsia="仿宋" w:cs="仿宋"/>
          <w:b/>
          <w:bCs/>
          <w:color w:val="auto"/>
          <w:sz w:val="32"/>
          <w:szCs w:val="32"/>
          <w:highlight w:val="none"/>
          <w:lang w:eastAsia="zh-CN"/>
        </w:rPr>
        <w:t>规编制</w:t>
      </w:r>
      <w:r>
        <w:rPr>
          <w:rFonts w:hint="eastAsia" w:ascii="仿宋" w:hAnsi="仿宋" w:eastAsia="仿宋" w:cs="仿宋"/>
          <w:b/>
          <w:bCs/>
          <w:color w:val="auto"/>
          <w:sz w:val="32"/>
          <w:szCs w:val="32"/>
          <w:highlight w:val="none"/>
          <w:lang w:val="en-US" w:eastAsia="zh-CN"/>
        </w:rPr>
        <w:t>计</w:t>
      </w:r>
      <w:r>
        <w:rPr>
          <w:rFonts w:hint="eastAsia" w:ascii="仿宋" w:hAnsi="仿宋" w:eastAsia="仿宋" w:cs="仿宋"/>
          <w:b/>
          <w:bCs/>
          <w:color w:val="auto"/>
          <w:sz w:val="32"/>
          <w:szCs w:val="32"/>
          <w:highlight w:val="none"/>
          <w:lang w:eastAsia="zh-CN"/>
        </w:rPr>
        <w:t>费</w:t>
      </w:r>
    </w:p>
    <w:p w14:paraId="73227F77">
      <w:pPr>
        <w:keepNext w:val="0"/>
        <w:keepLines w:val="0"/>
        <w:pageBreakBefore w:val="0"/>
        <w:widowControl w:val="0"/>
        <w:kinsoku/>
        <w:wordWrap/>
        <w:overflowPunct/>
        <w:topLinePunct w:val="0"/>
        <w:autoSpaceDE/>
        <w:autoSpaceDN/>
        <w:bidi w:val="0"/>
        <w:adjustRightInd/>
        <w:snapToGrid/>
        <w:spacing w:line="560" w:lineRule="exact"/>
        <w:ind w:firstLine="320" w:firstLineChars="100"/>
        <w:textAlignment w:val="auto"/>
        <w:rPr>
          <w:rFonts w:hint="eastAsia" w:ascii="仿宋" w:hAnsi="仿宋" w:eastAsia="仿宋" w:cs="仿宋"/>
          <w:color w:val="auto"/>
          <w:sz w:val="32"/>
          <w:szCs w:val="32"/>
          <w:lang w:eastAsia="zh-CN"/>
        </w:rPr>
      </w:pPr>
      <w:r>
        <w:rPr>
          <w:rFonts w:hint="eastAsia" w:ascii="仿宋" w:hAnsi="仿宋" w:eastAsia="仿宋" w:cs="仿宋"/>
          <w:sz w:val="32"/>
          <w:szCs w:val="32"/>
          <w:highlight w:val="none"/>
          <w:lang w:eastAsia="zh-CN"/>
        </w:rPr>
        <w:t>项目单位申请控规编制经费</w:t>
      </w:r>
      <w:r>
        <w:rPr>
          <w:rFonts w:hint="eastAsia" w:ascii="仿宋" w:hAnsi="仿宋" w:eastAsia="仿宋" w:cs="仿宋"/>
          <w:sz w:val="32"/>
          <w:szCs w:val="32"/>
          <w:highlight w:val="none"/>
          <w:lang w:val="en-US" w:eastAsia="zh-CN"/>
        </w:rPr>
        <w:t>3099公顷*0.35</w:t>
      </w:r>
      <w:r>
        <w:rPr>
          <w:rFonts w:hint="eastAsia" w:ascii="仿宋" w:hAnsi="仿宋" w:eastAsia="仿宋" w:cs="仿宋"/>
          <w:sz w:val="32"/>
          <w:szCs w:val="32"/>
          <w:highlight w:val="none"/>
          <w:lang w:eastAsia="zh-CN"/>
        </w:rPr>
        <w:t>万元/公顷*</w:t>
      </w:r>
      <w:r>
        <w:rPr>
          <w:rFonts w:hint="eastAsia" w:ascii="仿宋" w:hAnsi="仿宋" w:eastAsia="仿宋" w:cs="仿宋"/>
          <w:sz w:val="32"/>
          <w:szCs w:val="32"/>
          <w:highlight w:val="none"/>
          <w:lang w:val="en-US" w:eastAsia="zh-CN"/>
        </w:rPr>
        <w:t>0.3</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325.395</w:t>
      </w:r>
      <w:r>
        <w:rPr>
          <w:rFonts w:hint="eastAsia" w:ascii="仿宋" w:hAnsi="仿宋" w:eastAsia="仿宋" w:cs="仿宋"/>
          <w:sz w:val="32"/>
          <w:szCs w:val="32"/>
          <w:highlight w:val="none"/>
          <w:lang w:eastAsia="zh-CN"/>
        </w:rPr>
        <w:t>万元。</w:t>
      </w:r>
    </w:p>
    <w:p w14:paraId="60BF997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val="en-US" w:eastAsia="zh-CN"/>
        </w:rPr>
        <w:t>经核实建设用地30.99平方公里，其中30%面积为已经建成区域，至2035年之前不做调整，故总面积应该按照3099公顷*（1-0.3）=2169.3公顷为基数，则控规编制费用为2169.3公顷*0.35万元/公顷=759.255万元。</w:t>
      </w:r>
    </w:p>
    <w:p w14:paraId="1972C0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1" w:firstLineChars="100"/>
        <w:jc w:val="both"/>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（3）审定费用</w:t>
      </w:r>
    </w:p>
    <w:p w14:paraId="469D96A6">
      <w:pPr>
        <w:pStyle w:val="5"/>
        <w:keepNext w:val="0"/>
        <w:keepLines w:val="0"/>
        <w:pageBreakBefore w:val="0"/>
        <w:widowControl w:val="0"/>
        <w:numPr>
          <w:ilvl w:val="0"/>
          <w:numId w:val="0"/>
        </w:numPr>
        <w:kinsoku/>
        <w:overflowPunct/>
        <w:topLinePunct w:val="0"/>
        <w:autoSpaceDE/>
        <w:autoSpaceDN/>
        <w:bidi w:val="0"/>
        <w:adjustRightInd/>
        <w:snapToGrid/>
        <w:spacing w:after="0"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0"/>
          <w:szCs w:val="30"/>
          <w:lang w:val="en-US" w:eastAsia="zh-CN"/>
        </w:rPr>
        <w:t>根据目前市场行情，参考市本级同类项目价格</w:t>
      </w: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考虑蟠龙新区低开发密度等因素，</w:t>
      </w:r>
      <w:r>
        <w:rPr>
          <w:rFonts w:hint="eastAsia" w:ascii="仿宋" w:hAnsi="仿宋" w:eastAsia="仿宋" w:cs="仿宋"/>
          <w:color w:val="auto"/>
          <w:sz w:val="30"/>
          <w:szCs w:val="30"/>
        </w:rPr>
        <w:t>参照行业折扣系数市场取值，</w:t>
      </w:r>
      <w:r>
        <w:rPr>
          <w:rFonts w:hint="eastAsia" w:ascii="仿宋" w:hAnsi="仿宋" w:eastAsia="仿宋" w:cs="仿宋"/>
          <w:color w:val="auto"/>
          <w:sz w:val="30"/>
          <w:szCs w:val="30"/>
          <w:lang w:val="en-US" w:eastAsia="zh-CN"/>
        </w:rPr>
        <w:t>按照</w:t>
      </w:r>
      <w:r>
        <w:rPr>
          <w:rFonts w:hint="eastAsia" w:ascii="仿宋" w:hAnsi="仿宋" w:eastAsia="仿宋" w:cs="仿宋"/>
          <w:color w:val="auto"/>
          <w:sz w:val="30"/>
          <w:szCs w:val="30"/>
        </w:rPr>
        <w:t>4.</w:t>
      </w:r>
      <w:r>
        <w:rPr>
          <w:rFonts w:hint="eastAsia" w:ascii="仿宋" w:hAnsi="仿宋" w:eastAsia="仿宋" w:cs="仿宋"/>
          <w:color w:val="auto"/>
          <w:sz w:val="30"/>
          <w:szCs w:val="30"/>
          <w:lang w:val="en-US" w:eastAsia="zh-CN"/>
        </w:rPr>
        <w:t>0折核算</w:t>
      </w:r>
      <w:r>
        <w:rPr>
          <w:rFonts w:hint="eastAsia" w:ascii="仿宋" w:hAnsi="仿宋" w:eastAsia="仿宋" w:cs="仿宋"/>
          <w:sz w:val="30"/>
          <w:szCs w:val="30"/>
          <w:lang w:val="en-US" w:eastAsia="zh-CN"/>
        </w:rPr>
        <w:t>。则蟠龙高新区控制性详细规划编制费用最终评审价为：759.255万元*0.40=303.70万元。</w:t>
      </w:r>
    </w:p>
    <w:p w14:paraId="35655726">
      <w:pPr>
        <w:keepNext w:val="0"/>
        <w:keepLines w:val="0"/>
        <w:pageBreakBefore w:val="0"/>
        <w:widowControl w:val="0"/>
        <w:kinsoku/>
        <w:wordWrap/>
        <w:overflowPunct/>
        <w:topLinePunct w:val="0"/>
        <w:autoSpaceDE/>
        <w:autoSpaceDN/>
        <w:bidi w:val="0"/>
        <w:adjustRightInd/>
        <w:snapToGrid/>
        <w:spacing w:line="560" w:lineRule="exact"/>
        <w:ind w:firstLine="320" w:firstLineChars="100"/>
        <w:jc w:val="both"/>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四、相关建议</w:t>
      </w:r>
    </w:p>
    <w:p w14:paraId="6EB2D5F2">
      <w:pPr>
        <w:keepNext w:val="0"/>
        <w:keepLines w:val="0"/>
        <w:pageBreakBefore w:val="0"/>
        <w:widowControl w:val="0"/>
        <w:kinsoku/>
        <w:overflowPunct/>
        <w:topLinePunct w:val="0"/>
        <w:autoSpaceDE/>
        <w:autoSpaceDN/>
        <w:bidi w:val="0"/>
        <w:adjustRightInd/>
        <w:snapToGrid/>
        <w:spacing w:line="560" w:lineRule="exact"/>
        <w:ind w:firstLine="640" w:firstLineChars="200"/>
        <w:jc w:val="both"/>
        <w:textAlignment w:val="auto"/>
        <w:rPr>
          <w:rFonts w:ascii="仿宋" w:hAnsi="仿宋" w:eastAsia="仿宋" w:cs="仿宋_GB2312"/>
          <w:color w:val="auto"/>
          <w:sz w:val="32"/>
          <w:szCs w:val="32"/>
          <w:lang w:eastAsia="zh-CN" w:bidi="zh-TW"/>
        </w:rPr>
      </w:pPr>
      <w:r>
        <w:rPr>
          <w:rFonts w:hint="eastAsia" w:ascii="仿宋" w:hAnsi="仿宋" w:eastAsia="仿宋" w:cs="仿宋_GB2312"/>
          <w:color w:val="auto"/>
          <w:sz w:val="32"/>
          <w:szCs w:val="32"/>
          <w:lang w:eastAsia="zh-CN" w:bidi="zh-TW"/>
        </w:rPr>
        <w:t>（一）建议项目单位充分考虑规划区域不同工作量的实际，并依托国土空间基础信息平台和国土空间规划“一张图”系统的技术支撑，进一步明确、细化控制性详细规划编制的实际需求，尽可能降低编制工作成本。</w:t>
      </w:r>
    </w:p>
    <w:p w14:paraId="1D4F4758">
      <w:pPr>
        <w:keepNext w:val="0"/>
        <w:keepLines w:val="0"/>
        <w:pageBreakBefore w:val="0"/>
        <w:widowControl w:val="0"/>
        <w:kinsoku/>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lang w:eastAsia="zh-CN" w:bidi="zh-TW"/>
        </w:rPr>
      </w:pPr>
      <w:r>
        <w:rPr>
          <w:rFonts w:hint="eastAsia" w:ascii="仿宋" w:hAnsi="仿宋" w:eastAsia="仿宋" w:cs="仿宋_GB2312"/>
          <w:color w:val="auto"/>
          <w:sz w:val="32"/>
          <w:szCs w:val="32"/>
          <w:lang w:eastAsia="zh-CN" w:bidi="zh-TW"/>
        </w:rPr>
        <w:t>（</w:t>
      </w:r>
      <w:r>
        <w:rPr>
          <w:rFonts w:hint="eastAsia" w:ascii="仿宋" w:hAnsi="仿宋" w:eastAsia="仿宋" w:cs="仿宋_GB2312"/>
          <w:color w:val="auto"/>
          <w:sz w:val="32"/>
          <w:szCs w:val="32"/>
          <w:lang w:val="en-US" w:eastAsia="zh-CN" w:bidi="zh-TW"/>
        </w:rPr>
        <w:t>二</w:t>
      </w:r>
      <w:r>
        <w:rPr>
          <w:rFonts w:hint="eastAsia" w:ascii="仿宋" w:hAnsi="仿宋" w:eastAsia="仿宋" w:cs="仿宋_GB2312"/>
          <w:color w:val="auto"/>
          <w:sz w:val="32"/>
          <w:szCs w:val="32"/>
          <w:lang w:eastAsia="zh-CN" w:bidi="zh-TW"/>
        </w:rPr>
        <w:t>）控制性详细规划编制社会关注度高。建议项目单位在实施过程中健全公众参与制度，在详细规划编制中做好公示公开，主动接受社会监督。</w:t>
      </w:r>
      <w:r>
        <w:rPr>
          <w:rFonts w:hint="eastAsia" w:ascii="仿宋" w:hAnsi="仿宋" w:eastAsia="仿宋" w:cs="仿宋"/>
          <w:color w:val="auto"/>
          <w:sz w:val="32"/>
          <w:szCs w:val="32"/>
          <w:lang w:eastAsia="zh-CN" w:bidi="zh-TW"/>
        </w:rPr>
        <w:t xml:space="preserve">      </w:t>
      </w:r>
    </w:p>
    <w:p w14:paraId="6D28D7C6">
      <w:pPr>
        <w:pStyle w:val="25"/>
        <w:keepNext w:val="0"/>
        <w:keepLines w:val="0"/>
        <w:pageBreakBefore w:val="0"/>
        <w:widowControl w:val="0"/>
        <w:tabs>
          <w:tab w:val="left" w:pos="689"/>
          <w:tab w:val="left" w:pos="5464"/>
        </w:tabs>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lang w:val="en-US" w:eastAsia="zh-CN" w:bidi="zh-TW"/>
        </w:rPr>
      </w:pPr>
      <w:r>
        <w:rPr>
          <w:rFonts w:hint="eastAsia" w:ascii="黑体" w:hAnsi="黑体" w:eastAsia="黑体" w:cs="黑体"/>
          <w:b w:val="0"/>
          <w:bCs w:val="0"/>
          <w:color w:val="auto"/>
          <w:sz w:val="32"/>
          <w:szCs w:val="32"/>
          <w:lang w:val="en-US" w:eastAsia="zh-CN"/>
        </w:rPr>
        <w:t>五、其他需要说明的问题</w:t>
      </w:r>
      <w:r>
        <w:rPr>
          <w:rFonts w:hint="eastAsia" w:ascii="黑体" w:hAnsi="黑体" w:eastAsia="黑体" w:cs="黑体"/>
          <w:b w:val="0"/>
          <w:bCs w:val="0"/>
          <w:color w:val="auto"/>
          <w:sz w:val="32"/>
          <w:szCs w:val="32"/>
          <w:lang w:val="en-US" w:eastAsia="zh-CN"/>
        </w:rPr>
        <w:tab/>
      </w:r>
    </w:p>
    <w:p w14:paraId="2A70A8AB">
      <w:pPr>
        <w:keepNext w:val="0"/>
        <w:keepLines w:val="0"/>
        <w:pageBreakBefore w:val="0"/>
        <w:widowControl w:val="0"/>
        <w:kinsoku/>
        <w:overflowPunct/>
        <w:topLinePunct w:val="0"/>
        <w:autoSpaceDE/>
        <w:autoSpaceDN/>
        <w:bidi w:val="0"/>
        <w:adjustRightInd/>
        <w:snapToGrid/>
        <w:spacing w:line="560" w:lineRule="exact"/>
        <w:ind w:firstLine="960" w:firstLineChars="300"/>
        <w:jc w:val="both"/>
        <w:textAlignment w:val="auto"/>
        <w:rPr>
          <w:rFonts w:hint="default" w:ascii="仿宋" w:hAnsi="仿宋" w:eastAsia="仿宋" w:cs="仿宋"/>
          <w:color w:val="auto"/>
          <w:sz w:val="32"/>
          <w:szCs w:val="32"/>
          <w:lang w:val="en-US" w:eastAsia="zh-CN" w:bidi="zh-TW"/>
        </w:rPr>
      </w:pPr>
      <w:r>
        <w:rPr>
          <w:rFonts w:hint="eastAsia" w:ascii="仿宋" w:hAnsi="仿宋" w:eastAsia="仿宋" w:cs="仿宋"/>
          <w:color w:val="auto"/>
          <w:sz w:val="32"/>
          <w:szCs w:val="32"/>
          <w:lang w:eastAsia="zh-CN" w:bidi="zh-TW"/>
        </w:rPr>
        <w:t>本报告的结论是在项目单位所提供的资料基础上形成的，前提条件是项目单位提供的所有资料应该客观、真实、完整、合法。因前提条件不真实或不成立而造成的评审结果偏差，不属于受托方的责任。</w:t>
      </w:r>
    </w:p>
    <w:p w14:paraId="70E3A221">
      <w:pPr>
        <w:spacing w:line="560" w:lineRule="exact"/>
        <w:ind w:firstLine="960" w:firstLineChars="300"/>
        <w:jc w:val="both"/>
        <w:rPr>
          <w:rFonts w:hint="eastAsia" w:ascii="仿宋" w:hAnsi="仿宋" w:eastAsia="仿宋" w:cs="仿宋"/>
          <w:color w:val="auto"/>
          <w:sz w:val="32"/>
          <w:szCs w:val="32"/>
          <w:lang w:val="en-US" w:eastAsia="zh-CN" w:bidi="zh-TW"/>
        </w:rPr>
      </w:pPr>
    </w:p>
    <w:p w14:paraId="55095E0D">
      <w:pPr>
        <w:spacing w:line="560" w:lineRule="exact"/>
        <w:ind w:firstLine="960" w:firstLineChars="300"/>
        <w:jc w:val="both"/>
        <w:rPr>
          <w:rFonts w:hint="eastAsia" w:ascii="仿宋" w:hAnsi="仿宋" w:eastAsia="仿宋" w:cs="仿宋"/>
          <w:color w:val="auto"/>
          <w:sz w:val="32"/>
          <w:szCs w:val="32"/>
          <w:lang w:val="en-US" w:eastAsia="zh-CN" w:bidi="zh-TW"/>
        </w:rPr>
      </w:pPr>
      <w:r>
        <w:rPr>
          <w:rFonts w:hint="eastAsia" w:ascii="仿宋" w:hAnsi="仿宋" w:eastAsia="仿宋" w:cs="仿宋"/>
          <w:color w:val="auto"/>
          <w:sz w:val="32"/>
          <w:szCs w:val="32"/>
          <w:lang w:val="en-US" w:eastAsia="zh-CN" w:bidi="zh-TW"/>
        </w:rPr>
        <w:t>附件：</w:t>
      </w:r>
    </w:p>
    <w:p w14:paraId="440C5FF1">
      <w:pPr>
        <w:spacing w:line="560" w:lineRule="exact"/>
        <w:ind w:firstLine="1600" w:firstLineChars="500"/>
        <w:jc w:val="both"/>
        <w:rPr>
          <w:rFonts w:hint="eastAsia" w:ascii="仿宋" w:hAnsi="仿宋" w:eastAsia="仿宋" w:cs="仿宋"/>
          <w:color w:val="auto"/>
          <w:sz w:val="32"/>
          <w:szCs w:val="32"/>
          <w:lang w:val="en-US" w:eastAsia="zh-CN" w:bidi="zh-TW"/>
        </w:rPr>
      </w:pPr>
      <w:r>
        <w:rPr>
          <w:rFonts w:hint="eastAsia" w:ascii="仿宋" w:hAnsi="仿宋" w:eastAsia="仿宋" w:cs="仿宋"/>
          <w:color w:val="auto"/>
          <w:sz w:val="32"/>
          <w:szCs w:val="32"/>
          <w:lang w:val="en-US" w:eastAsia="zh-CN" w:bidi="zh-TW"/>
        </w:rPr>
        <w:t>1.评审组成员表</w:t>
      </w:r>
    </w:p>
    <w:p w14:paraId="2165C2A7">
      <w:pPr>
        <w:spacing w:line="560" w:lineRule="exact"/>
        <w:ind w:firstLine="1600" w:firstLineChars="500"/>
        <w:jc w:val="both"/>
        <w:rPr>
          <w:rFonts w:hint="default" w:ascii="仿宋" w:hAnsi="仿宋" w:eastAsia="仿宋" w:cs="仿宋"/>
          <w:color w:val="auto"/>
          <w:sz w:val="32"/>
          <w:szCs w:val="32"/>
          <w:lang w:val="en-US" w:eastAsia="zh-CN" w:bidi="zh-TW"/>
        </w:rPr>
      </w:pPr>
      <w:r>
        <w:rPr>
          <w:rFonts w:hint="eastAsia" w:ascii="仿宋" w:hAnsi="仿宋" w:eastAsia="仿宋" w:cs="仿宋"/>
          <w:color w:val="auto"/>
          <w:sz w:val="32"/>
          <w:szCs w:val="32"/>
          <w:lang w:val="en-US" w:eastAsia="zh-CN" w:bidi="zh-TW"/>
        </w:rPr>
        <w:t>2.项目单位送审资料</w:t>
      </w:r>
    </w:p>
    <w:p w14:paraId="3EB91DE6">
      <w:pPr>
        <w:pStyle w:val="25"/>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ascii="仿宋" w:hAnsi="仿宋" w:eastAsia="仿宋" w:cs="仿宋"/>
          <w:color w:val="auto"/>
          <w:lang w:val="en-US" w:eastAsia="zh-CN"/>
        </w:rPr>
      </w:pPr>
    </w:p>
    <w:p w14:paraId="2966D55C">
      <w:pPr>
        <w:pStyle w:val="25"/>
        <w:keepNext w:val="0"/>
        <w:keepLines w:val="0"/>
        <w:pageBreakBefore w:val="0"/>
        <w:widowControl w:val="0"/>
        <w:kinsoku/>
        <w:wordWrap/>
        <w:overflowPunct/>
        <w:topLinePunct w:val="0"/>
        <w:autoSpaceDE/>
        <w:autoSpaceDN/>
        <w:bidi w:val="0"/>
        <w:adjustRightInd/>
        <w:snapToGrid/>
        <w:spacing w:line="440" w:lineRule="exact"/>
        <w:ind w:firstLine="4392" w:firstLineChars="1464"/>
        <w:jc w:val="both"/>
        <w:textAlignment w:val="auto"/>
        <w:rPr>
          <w:rFonts w:hint="eastAsia" w:ascii="仿宋" w:hAnsi="仿宋" w:eastAsia="仿宋" w:cs="仿宋"/>
          <w:color w:val="auto"/>
          <w:lang w:val="en-US" w:eastAsia="zh-CN"/>
        </w:rPr>
      </w:pPr>
    </w:p>
    <w:p w14:paraId="57020285">
      <w:pPr>
        <w:pStyle w:val="25"/>
        <w:keepNext w:val="0"/>
        <w:keepLines w:val="0"/>
        <w:pageBreakBefore w:val="0"/>
        <w:widowControl w:val="0"/>
        <w:kinsoku/>
        <w:wordWrap/>
        <w:overflowPunct/>
        <w:topLinePunct w:val="0"/>
        <w:autoSpaceDE/>
        <w:autoSpaceDN/>
        <w:bidi w:val="0"/>
        <w:adjustRightInd/>
        <w:snapToGrid/>
        <w:spacing w:line="440" w:lineRule="exact"/>
        <w:ind w:firstLine="4392" w:firstLineChars="1464"/>
        <w:jc w:val="both"/>
        <w:textAlignment w:val="auto"/>
        <w:rPr>
          <w:rFonts w:hint="eastAsia" w:ascii="仿宋" w:hAnsi="仿宋" w:eastAsia="仿宋" w:cs="仿宋"/>
          <w:color w:val="auto"/>
          <w:lang w:val="en-US" w:eastAsia="zh-CN"/>
        </w:rPr>
      </w:pPr>
    </w:p>
    <w:p w14:paraId="261AF867">
      <w:pPr>
        <w:pStyle w:val="25"/>
        <w:keepNext w:val="0"/>
        <w:keepLines w:val="0"/>
        <w:pageBreakBefore w:val="0"/>
        <w:widowControl w:val="0"/>
        <w:kinsoku/>
        <w:wordWrap/>
        <w:overflowPunct/>
        <w:topLinePunct w:val="0"/>
        <w:autoSpaceDE/>
        <w:autoSpaceDN/>
        <w:bidi w:val="0"/>
        <w:adjustRightInd/>
        <w:snapToGrid/>
        <w:spacing w:line="440" w:lineRule="exact"/>
        <w:ind w:firstLine="4392" w:firstLineChars="1464"/>
        <w:jc w:val="both"/>
        <w:textAlignment w:val="auto"/>
        <w:rPr>
          <w:rFonts w:hint="eastAsia" w:ascii="仿宋" w:hAnsi="仿宋" w:eastAsia="仿宋" w:cs="仿宋"/>
          <w:color w:val="auto"/>
          <w:lang w:val="en-US" w:eastAsia="zh-CN"/>
        </w:rPr>
      </w:pPr>
    </w:p>
    <w:p w14:paraId="2265C91F">
      <w:pPr>
        <w:pStyle w:val="25"/>
        <w:keepNext w:val="0"/>
        <w:keepLines w:val="0"/>
        <w:pageBreakBefore w:val="0"/>
        <w:widowControl w:val="0"/>
        <w:kinsoku/>
        <w:wordWrap/>
        <w:overflowPunct/>
        <w:topLinePunct w:val="0"/>
        <w:autoSpaceDE/>
        <w:autoSpaceDN/>
        <w:bidi w:val="0"/>
        <w:adjustRightInd/>
        <w:snapToGrid/>
        <w:spacing w:line="440" w:lineRule="exact"/>
        <w:ind w:firstLine="4392" w:firstLineChars="1464"/>
        <w:jc w:val="both"/>
        <w:textAlignment w:val="auto"/>
        <w:rPr>
          <w:rFonts w:hint="eastAsia" w:ascii="仿宋" w:hAnsi="仿宋" w:eastAsia="仿宋" w:cs="仿宋"/>
          <w:color w:val="auto"/>
          <w:lang w:val="en-US" w:eastAsia="zh-CN"/>
        </w:rPr>
      </w:pPr>
    </w:p>
    <w:p w14:paraId="1EC1081E">
      <w:pPr>
        <w:pStyle w:val="25"/>
        <w:keepNext w:val="0"/>
        <w:keepLines w:val="0"/>
        <w:pageBreakBefore w:val="0"/>
        <w:widowControl w:val="0"/>
        <w:kinsoku/>
        <w:wordWrap/>
        <w:overflowPunct/>
        <w:topLinePunct w:val="0"/>
        <w:autoSpaceDE/>
        <w:autoSpaceDN/>
        <w:bidi w:val="0"/>
        <w:adjustRightInd/>
        <w:snapToGrid/>
        <w:spacing w:line="440" w:lineRule="exact"/>
        <w:ind w:firstLine="4392" w:firstLineChars="1464"/>
        <w:jc w:val="both"/>
        <w:textAlignment w:val="auto"/>
        <w:rPr>
          <w:rFonts w:hint="eastAsia" w:ascii="仿宋" w:hAnsi="仿宋" w:eastAsia="仿宋" w:cs="仿宋"/>
          <w:color w:val="auto"/>
          <w:lang w:val="en-US" w:eastAsia="zh-CN"/>
        </w:rPr>
      </w:pPr>
    </w:p>
    <w:p w14:paraId="60DDD23A">
      <w:pPr>
        <w:pStyle w:val="25"/>
        <w:keepNext w:val="0"/>
        <w:keepLines w:val="0"/>
        <w:pageBreakBefore w:val="0"/>
        <w:widowControl w:val="0"/>
        <w:kinsoku/>
        <w:wordWrap/>
        <w:overflowPunct/>
        <w:topLinePunct w:val="0"/>
        <w:autoSpaceDE/>
        <w:autoSpaceDN/>
        <w:bidi w:val="0"/>
        <w:adjustRightInd/>
        <w:snapToGrid/>
        <w:spacing w:line="440" w:lineRule="exact"/>
        <w:ind w:firstLine="4392" w:firstLineChars="1464"/>
        <w:jc w:val="both"/>
        <w:textAlignment w:val="auto"/>
        <w:rPr>
          <w:rFonts w:hint="eastAsia" w:ascii="仿宋" w:hAnsi="仿宋" w:eastAsia="仿宋" w:cs="仿宋"/>
          <w:color w:val="auto"/>
          <w:lang w:val="en-US" w:eastAsia="zh-CN"/>
        </w:rPr>
      </w:pPr>
    </w:p>
    <w:p w14:paraId="42418A71">
      <w:pPr>
        <w:pStyle w:val="25"/>
        <w:keepNext w:val="0"/>
        <w:keepLines w:val="0"/>
        <w:pageBreakBefore w:val="0"/>
        <w:widowControl w:val="0"/>
        <w:kinsoku/>
        <w:wordWrap/>
        <w:overflowPunct/>
        <w:topLinePunct w:val="0"/>
        <w:autoSpaceDE/>
        <w:autoSpaceDN/>
        <w:bidi w:val="0"/>
        <w:adjustRightInd/>
        <w:snapToGrid/>
        <w:spacing w:line="440" w:lineRule="exact"/>
        <w:ind w:firstLine="4392" w:firstLineChars="1464"/>
        <w:jc w:val="both"/>
        <w:textAlignment w:val="auto"/>
        <w:rPr>
          <w:rFonts w:hint="eastAsia" w:ascii="仿宋" w:hAnsi="仿宋" w:eastAsia="仿宋" w:cs="仿宋"/>
          <w:color w:val="auto"/>
          <w:lang w:val="en-US" w:eastAsia="zh-CN"/>
        </w:rPr>
      </w:pPr>
    </w:p>
    <w:p w14:paraId="533C07F3">
      <w:pPr>
        <w:pStyle w:val="25"/>
        <w:keepNext w:val="0"/>
        <w:keepLines w:val="0"/>
        <w:pageBreakBefore w:val="0"/>
        <w:widowControl w:val="0"/>
        <w:kinsoku/>
        <w:wordWrap/>
        <w:overflowPunct/>
        <w:topLinePunct w:val="0"/>
        <w:autoSpaceDE/>
        <w:autoSpaceDN/>
        <w:bidi w:val="0"/>
        <w:adjustRightInd/>
        <w:snapToGrid/>
        <w:spacing w:line="440" w:lineRule="exact"/>
        <w:ind w:firstLine="4392" w:firstLineChars="1464"/>
        <w:jc w:val="both"/>
        <w:textAlignment w:val="auto"/>
        <w:rPr>
          <w:rFonts w:hint="eastAsia" w:ascii="仿宋" w:hAnsi="仿宋" w:eastAsia="仿宋" w:cs="仿宋"/>
          <w:color w:val="auto"/>
          <w:lang w:val="en-US" w:eastAsia="zh-CN"/>
        </w:rPr>
      </w:pPr>
      <w:r>
        <w:rPr>
          <w:rFonts w:hint="eastAsia" w:ascii="仿宋" w:hAnsi="仿宋" w:eastAsia="仿宋" w:cs="仿宋"/>
          <w:color w:val="auto"/>
          <w:lang w:val="en-US" w:eastAsia="zh-CN"/>
        </w:rPr>
        <w:t>宝鸡市金台区财政局</w:t>
      </w:r>
    </w:p>
    <w:p w14:paraId="52C65328">
      <w:pPr>
        <w:pStyle w:val="25"/>
        <w:keepNext w:val="0"/>
        <w:keepLines w:val="0"/>
        <w:pageBreakBefore w:val="0"/>
        <w:widowControl w:val="0"/>
        <w:kinsoku/>
        <w:wordWrap/>
        <w:overflowPunct/>
        <w:topLinePunct w:val="0"/>
        <w:autoSpaceDE/>
        <w:autoSpaceDN/>
        <w:bidi w:val="0"/>
        <w:adjustRightInd/>
        <w:snapToGrid/>
        <w:spacing w:line="440" w:lineRule="exact"/>
        <w:ind w:firstLine="4692" w:firstLineChars="1564"/>
        <w:jc w:val="both"/>
        <w:textAlignment w:val="auto"/>
        <w:rPr>
          <w:rFonts w:hint="eastAsia" w:ascii="仿宋" w:hAnsi="仿宋" w:eastAsia="仿宋" w:cs="仿宋"/>
          <w:color w:val="auto"/>
          <w:sz w:val="30"/>
          <w:szCs w:val="30"/>
          <w:lang w:eastAsia="zh-CN" w:bidi="ar-SA"/>
        </w:rPr>
      </w:pPr>
    </w:p>
    <w:p w14:paraId="7B091E53">
      <w:pPr>
        <w:pStyle w:val="25"/>
        <w:keepNext w:val="0"/>
        <w:keepLines w:val="0"/>
        <w:pageBreakBefore w:val="0"/>
        <w:widowControl w:val="0"/>
        <w:kinsoku/>
        <w:wordWrap/>
        <w:overflowPunct/>
        <w:topLinePunct w:val="0"/>
        <w:autoSpaceDE/>
        <w:autoSpaceDN/>
        <w:bidi w:val="0"/>
        <w:adjustRightInd/>
        <w:snapToGrid/>
        <w:spacing w:line="440" w:lineRule="exact"/>
        <w:ind w:firstLine="4692" w:firstLineChars="1564"/>
        <w:jc w:val="both"/>
        <w:textAlignment w:val="auto"/>
        <w:rPr>
          <w:rFonts w:hint="eastAsia" w:ascii="仿宋" w:hAnsi="仿宋" w:eastAsia="仿宋" w:cs="仿宋"/>
          <w:color w:val="auto"/>
          <w:sz w:val="30"/>
          <w:szCs w:val="30"/>
          <w:lang w:eastAsia="zh-CN" w:bidi="ar-SA"/>
        </w:rPr>
      </w:pPr>
      <w:r>
        <w:rPr>
          <w:rFonts w:hint="eastAsia" w:ascii="仿宋" w:hAnsi="仿宋" w:eastAsia="仿宋" w:cs="仿宋"/>
          <w:color w:val="auto"/>
          <w:sz w:val="30"/>
          <w:szCs w:val="30"/>
          <w:lang w:eastAsia="zh-CN" w:bidi="ar-SA"/>
        </w:rPr>
        <w:t>202</w:t>
      </w:r>
      <w:r>
        <w:rPr>
          <w:rFonts w:hint="eastAsia" w:ascii="仿宋" w:hAnsi="仿宋" w:eastAsia="仿宋" w:cs="仿宋"/>
          <w:color w:val="auto"/>
          <w:sz w:val="30"/>
          <w:szCs w:val="30"/>
          <w:lang w:val="en-US" w:eastAsia="zh-CN" w:bidi="ar-SA"/>
        </w:rPr>
        <w:t>4</w:t>
      </w:r>
      <w:r>
        <w:rPr>
          <w:rFonts w:hint="eastAsia" w:ascii="仿宋" w:hAnsi="仿宋" w:eastAsia="仿宋" w:cs="仿宋"/>
          <w:color w:val="auto"/>
          <w:sz w:val="30"/>
          <w:szCs w:val="30"/>
          <w:lang w:eastAsia="zh-CN" w:bidi="ar-SA"/>
        </w:rPr>
        <w:t>年</w:t>
      </w:r>
      <w:r>
        <w:rPr>
          <w:rFonts w:hint="eastAsia" w:ascii="仿宋" w:hAnsi="仿宋" w:eastAsia="仿宋" w:cs="仿宋"/>
          <w:color w:val="auto"/>
          <w:sz w:val="30"/>
          <w:szCs w:val="30"/>
          <w:lang w:val="en-US" w:eastAsia="zh-CN" w:bidi="ar-SA"/>
        </w:rPr>
        <w:t>8</w:t>
      </w:r>
      <w:r>
        <w:rPr>
          <w:rFonts w:hint="eastAsia" w:ascii="仿宋" w:hAnsi="仿宋" w:eastAsia="仿宋" w:cs="仿宋"/>
          <w:color w:val="auto"/>
          <w:sz w:val="30"/>
          <w:szCs w:val="30"/>
          <w:lang w:eastAsia="zh-CN" w:bidi="ar-SA"/>
        </w:rPr>
        <w:t>月</w:t>
      </w:r>
      <w:r>
        <w:rPr>
          <w:rFonts w:hint="eastAsia" w:ascii="仿宋" w:hAnsi="仿宋" w:eastAsia="仿宋" w:cs="仿宋"/>
          <w:color w:val="auto"/>
          <w:sz w:val="30"/>
          <w:szCs w:val="30"/>
          <w:lang w:val="en-US" w:eastAsia="zh-CN" w:bidi="ar-SA"/>
        </w:rPr>
        <w:t>6</w:t>
      </w:r>
      <w:r>
        <w:rPr>
          <w:rFonts w:hint="eastAsia" w:ascii="仿宋" w:hAnsi="仿宋" w:eastAsia="仿宋" w:cs="仿宋"/>
          <w:color w:val="auto"/>
          <w:sz w:val="30"/>
          <w:szCs w:val="30"/>
          <w:lang w:eastAsia="zh-CN" w:bidi="ar-SA"/>
        </w:rPr>
        <w:t>日</w:t>
      </w:r>
    </w:p>
    <w:p w14:paraId="2B0F1866">
      <w:pPr>
        <w:rPr>
          <w:rFonts w:hint="eastAsia" w:ascii="仿宋" w:hAnsi="仿宋" w:eastAsia="仿宋" w:cs="仿宋"/>
          <w:color w:val="auto"/>
          <w:sz w:val="30"/>
          <w:szCs w:val="30"/>
          <w:lang w:eastAsia="zh-CN" w:bidi="ar-SA"/>
        </w:rPr>
      </w:pPr>
      <w:r>
        <w:rPr>
          <w:rFonts w:hint="eastAsia" w:ascii="仿宋" w:hAnsi="仿宋" w:eastAsia="仿宋" w:cs="仿宋"/>
          <w:color w:val="auto"/>
          <w:sz w:val="30"/>
          <w:szCs w:val="30"/>
          <w:lang w:eastAsia="zh-CN" w:bidi="ar-SA"/>
        </w:rPr>
        <w:br w:type="page"/>
      </w:r>
    </w:p>
    <w:p w14:paraId="371DF929">
      <w:pPr>
        <w:pStyle w:val="6"/>
        <w:rPr>
          <w:rFonts w:hint="eastAsia"/>
          <w:lang w:eastAsia="zh-CN"/>
        </w:rPr>
        <w:sectPr>
          <w:headerReference r:id="rId5" w:type="first"/>
          <w:footerReference r:id="rId7" w:type="first"/>
          <w:footerReference r:id="rId6" w:type="default"/>
          <w:pgSz w:w="11906" w:h="16838"/>
          <w:pgMar w:top="1587" w:right="1587" w:bottom="1587" w:left="1587" w:header="851" w:footer="1247" w:gutter="0"/>
          <w:pgBorders>
            <w:top w:val="none" w:sz="0" w:space="0"/>
            <w:left w:val="none" w:sz="0" w:space="0"/>
            <w:bottom w:val="none" w:sz="0" w:space="0"/>
            <w:right w:val="none" w:sz="0" w:space="0"/>
          </w:pgBorders>
          <w:pgNumType w:fmt="decimal" w:start="1"/>
          <w:cols w:space="0" w:num="1"/>
          <w:titlePg/>
          <w:rtlGutter w:val="0"/>
          <w:docGrid w:type="lines" w:linePitch="331" w:charSpace="0"/>
        </w:sectPr>
      </w:pPr>
    </w:p>
    <w:p w14:paraId="546502A2">
      <w:pPr>
        <w:spacing w:line="560" w:lineRule="exact"/>
        <w:jc w:val="both"/>
        <w:rPr>
          <w:rFonts w:hint="eastAsia" w:ascii="仿宋" w:hAnsi="仿宋" w:eastAsia="仿宋" w:cs="仿宋"/>
          <w:color w:val="auto"/>
          <w:sz w:val="32"/>
          <w:szCs w:val="32"/>
          <w:lang w:val="en-US" w:eastAsia="zh-CN" w:bidi="zh-TW"/>
        </w:rPr>
      </w:pPr>
      <w:r>
        <w:rPr>
          <w:rFonts w:hint="eastAsia" w:ascii="仿宋" w:hAnsi="仿宋" w:eastAsia="仿宋" w:cs="仿宋"/>
          <w:b/>
          <w:bCs/>
          <w:color w:val="auto"/>
          <w:sz w:val="32"/>
          <w:szCs w:val="32"/>
          <w:lang w:val="en-US" w:eastAsia="zh-CN" w:bidi="zh-TW"/>
        </w:rPr>
        <w:t>附件1</w:t>
      </w:r>
      <w:r>
        <w:rPr>
          <w:rFonts w:hint="eastAsia" w:ascii="仿宋" w:hAnsi="仿宋" w:eastAsia="仿宋" w:cs="仿宋"/>
          <w:color w:val="auto"/>
          <w:sz w:val="32"/>
          <w:szCs w:val="32"/>
          <w:lang w:val="en-US" w:eastAsia="zh-CN" w:bidi="zh-TW"/>
        </w:rPr>
        <w:t xml:space="preserve">  </w:t>
      </w:r>
    </w:p>
    <w:p w14:paraId="465E41A6">
      <w:pPr>
        <w:widowControl/>
        <w:jc w:val="center"/>
        <w:rPr>
          <w:rFonts w:hint="eastAsia" w:ascii="方正小标宋简体" w:hAnsi="方正小标宋简体" w:eastAsia="方正小标宋简体" w:cs="宋体"/>
          <w:bCs/>
          <w:color w:val="000000"/>
          <w:kern w:val="0"/>
          <w:sz w:val="36"/>
          <w:szCs w:val="36"/>
          <w:lang w:val="en-US" w:eastAsia="zh-CN"/>
        </w:rPr>
      </w:pPr>
    </w:p>
    <w:p w14:paraId="75CCE210">
      <w:pPr>
        <w:widowControl/>
        <w:jc w:val="center"/>
        <w:rPr>
          <w:rFonts w:hint="eastAsia" w:ascii="方正小标宋简体" w:hAnsi="方正小标宋简体" w:eastAsia="方正小标宋简体" w:cs="宋体"/>
          <w:bCs/>
          <w:color w:val="000000"/>
          <w:kern w:val="0"/>
          <w:sz w:val="36"/>
          <w:szCs w:val="36"/>
          <w:lang w:val="en-US" w:eastAsia="zh-CN"/>
        </w:rPr>
      </w:pPr>
      <w:r>
        <w:rPr>
          <w:rFonts w:hint="eastAsia" w:ascii="方正小标宋简体" w:hAnsi="方正小标宋简体" w:eastAsia="方正小标宋简体" w:cs="宋体"/>
          <w:bCs/>
          <w:color w:val="000000"/>
          <w:kern w:val="0"/>
          <w:sz w:val="32"/>
          <w:szCs w:val="32"/>
          <w:lang w:val="en-US" w:eastAsia="zh-CN"/>
        </w:rPr>
        <w:t>评审组成员表</w:t>
      </w:r>
    </w:p>
    <w:p w14:paraId="24E67443">
      <w:pPr>
        <w:widowControl/>
        <w:jc w:val="left"/>
        <w:rPr>
          <w:rFonts w:hint="eastAsia" w:ascii="仿宋" w:hAnsi="仿宋" w:eastAsia="仿宋" w:cs="仿宋"/>
          <w:b w:val="0"/>
          <w:bCs w:val="0"/>
          <w:sz w:val="32"/>
          <w:szCs w:val="32"/>
          <w:lang w:val="en-US" w:eastAsia="zh-CN"/>
        </w:rPr>
      </w:pPr>
    </w:p>
    <w:p w14:paraId="2A88EC71">
      <w:pPr>
        <w:widowControl/>
        <w:jc w:val="left"/>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王海侠  宝鸡市金台区财政局监督评价股股长</w:t>
      </w:r>
    </w:p>
    <w:p w14:paraId="7E6208E9">
      <w:pPr>
        <w:widowControl/>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温建龙  陕西大可工程咨询监理有限公司工程师（主评人）</w:t>
      </w:r>
    </w:p>
    <w:p w14:paraId="5DB7E412">
      <w:pPr>
        <w:widowControl/>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薛  倩  陕西大可工程咨询监理有限公司高级工程师</w:t>
      </w:r>
    </w:p>
    <w:p w14:paraId="569CBE34">
      <w:pPr>
        <w:widowControl/>
        <w:jc w:val="left"/>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刘永强  陕西大可工程咨询监理有限公司工程师</w:t>
      </w:r>
    </w:p>
    <w:p w14:paraId="16EF154F">
      <w:pPr>
        <w:widowControl/>
        <w:jc w:val="left"/>
        <w:rPr>
          <w:rFonts w:hint="default" w:ascii="仿宋" w:hAnsi="仿宋" w:eastAsia="仿宋" w:cs="仿宋"/>
          <w:b w:val="0"/>
          <w:bCs w:val="0"/>
          <w:sz w:val="32"/>
          <w:szCs w:val="32"/>
          <w:lang w:val="en-US" w:eastAsia="zh-CN"/>
        </w:rPr>
      </w:pPr>
    </w:p>
    <w:p w14:paraId="55392225">
      <w:pPr>
        <w:widowControl/>
        <w:jc w:val="left"/>
        <w:rPr>
          <w:rFonts w:hint="default" w:ascii="仿宋" w:hAnsi="仿宋" w:eastAsia="仿宋" w:cs="仿宋"/>
          <w:b w:val="0"/>
          <w:bCs w:val="0"/>
          <w:sz w:val="32"/>
          <w:szCs w:val="32"/>
          <w:lang w:val="en-US" w:eastAsia="zh-CN"/>
        </w:rPr>
      </w:pPr>
    </w:p>
    <w:p w14:paraId="2ED7D10B">
      <w:pPr>
        <w:widowControl/>
        <w:jc w:val="left"/>
        <w:rPr>
          <w:rFonts w:hint="default" w:ascii="仿宋" w:hAnsi="仿宋" w:eastAsia="仿宋" w:cs="仿宋"/>
          <w:b w:val="0"/>
          <w:bCs w:val="0"/>
          <w:sz w:val="32"/>
          <w:szCs w:val="32"/>
          <w:lang w:val="en-US" w:eastAsia="zh-CN"/>
        </w:rPr>
      </w:pPr>
    </w:p>
    <w:p w14:paraId="2560A260">
      <w:pPr>
        <w:widowControl/>
        <w:jc w:val="left"/>
        <w:rPr>
          <w:rFonts w:hint="default" w:ascii="仿宋" w:hAnsi="仿宋" w:eastAsia="仿宋" w:cs="仿宋"/>
          <w:b w:val="0"/>
          <w:bCs w:val="0"/>
          <w:sz w:val="32"/>
          <w:szCs w:val="32"/>
          <w:lang w:val="en-US" w:eastAsia="zh-CN"/>
        </w:rPr>
      </w:pPr>
    </w:p>
    <w:p w14:paraId="4EC2D7F5">
      <w:pPr>
        <w:widowControl/>
        <w:jc w:val="left"/>
        <w:rPr>
          <w:rFonts w:hint="default" w:ascii="仿宋" w:hAnsi="仿宋" w:eastAsia="仿宋" w:cs="仿宋"/>
          <w:b w:val="0"/>
          <w:bCs w:val="0"/>
          <w:sz w:val="32"/>
          <w:szCs w:val="32"/>
          <w:lang w:val="en-US" w:eastAsia="zh-CN"/>
        </w:rPr>
      </w:pPr>
    </w:p>
    <w:p w14:paraId="4F20E896">
      <w:pPr>
        <w:widowControl/>
        <w:jc w:val="left"/>
        <w:rPr>
          <w:rFonts w:hint="default" w:ascii="仿宋" w:hAnsi="仿宋" w:eastAsia="仿宋" w:cs="仿宋"/>
          <w:b w:val="0"/>
          <w:bCs w:val="0"/>
          <w:sz w:val="32"/>
          <w:szCs w:val="32"/>
          <w:lang w:val="en-US" w:eastAsia="zh-CN"/>
        </w:rPr>
      </w:pPr>
    </w:p>
    <w:p w14:paraId="70EB4934">
      <w:pPr>
        <w:widowControl/>
        <w:jc w:val="left"/>
        <w:rPr>
          <w:rFonts w:hint="default" w:ascii="仿宋" w:hAnsi="仿宋" w:eastAsia="仿宋" w:cs="仿宋"/>
          <w:b w:val="0"/>
          <w:bCs w:val="0"/>
          <w:sz w:val="32"/>
          <w:szCs w:val="32"/>
          <w:lang w:val="en-US" w:eastAsia="zh-CN"/>
        </w:rPr>
      </w:pPr>
    </w:p>
    <w:p w14:paraId="27624D6F">
      <w:pPr>
        <w:widowControl/>
        <w:jc w:val="left"/>
        <w:rPr>
          <w:rFonts w:hint="default" w:ascii="仿宋" w:hAnsi="仿宋" w:eastAsia="仿宋" w:cs="仿宋"/>
          <w:b w:val="0"/>
          <w:bCs w:val="0"/>
          <w:sz w:val="32"/>
          <w:szCs w:val="32"/>
          <w:lang w:val="en-US" w:eastAsia="zh-CN"/>
        </w:rPr>
      </w:pPr>
    </w:p>
    <w:p w14:paraId="08E7A22E">
      <w:pPr>
        <w:widowControl/>
        <w:jc w:val="left"/>
        <w:rPr>
          <w:rFonts w:hint="default" w:ascii="仿宋" w:hAnsi="仿宋" w:eastAsia="仿宋" w:cs="仿宋"/>
          <w:b w:val="0"/>
          <w:bCs w:val="0"/>
          <w:sz w:val="32"/>
          <w:szCs w:val="32"/>
          <w:lang w:val="en-US" w:eastAsia="zh-CN"/>
        </w:rPr>
      </w:pPr>
    </w:p>
    <w:p w14:paraId="4DF8A660">
      <w:pPr>
        <w:widowControl/>
        <w:jc w:val="left"/>
        <w:rPr>
          <w:rFonts w:hint="default" w:ascii="仿宋" w:hAnsi="仿宋" w:eastAsia="仿宋" w:cs="仿宋"/>
          <w:b w:val="0"/>
          <w:bCs w:val="0"/>
          <w:sz w:val="32"/>
          <w:szCs w:val="32"/>
          <w:lang w:val="en-US" w:eastAsia="zh-CN"/>
        </w:rPr>
      </w:pPr>
    </w:p>
    <w:p w14:paraId="4DC1B154">
      <w:pPr>
        <w:widowControl/>
        <w:jc w:val="left"/>
        <w:rPr>
          <w:rFonts w:hint="default" w:ascii="仿宋" w:hAnsi="仿宋" w:eastAsia="仿宋" w:cs="仿宋"/>
          <w:b w:val="0"/>
          <w:bCs w:val="0"/>
          <w:sz w:val="32"/>
          <w:szCs w:val="32"/>
          <w:lang w:val="en-US" w:eastAsia="zh-CN"/>
        </w:rPr>
      </w:pPr>
    </w:p>
    <w:p w14:paraId="1F732521">
      <w:pPr>
        <w:widowControl/>
        <w:jc w:val="left"/>
        <w:rPr>
          <w:rFonts w:hint="default" w:ascii="仿宋" w:hAnsi="仿宋" w:eastAsia="仿宋" w:cs="仿宋"/>
          <w:b w:val="0"/>
          <w:bCs w:val="0"/>
          <w:sz w:val="32"/>
          <w:szCs w:val="32"/>
          <w:lang w:val="en-US" w:eastAsia="zh-CN"/>
        </w:rPr>
      </w:pPr>
    </w:p>
    <w:p w14:paraId="06FDB9C0">
      <w:pPr>
        <w:widowControl/>
        <w:jc w:val="left"/>
        <w:rPr>
          <w:rFonts w:hint="default" w:ascii="仿宋" w:hAnsi="仿宋" w:eastAsia="仿宋" w:cs="仿宋"/>
          <w:b w:val="0"/>
          <w:bCs w:val="0"/>
          <w:sz w:val="32"/>
          <w:szCs w:val="32"/>
          <w:lang w:val="en-US" w:eastAsia="zh-CN"/>
        </w:rPr>
      </w:pPr>
    </w:p>
    <w:p w14:paraId="5E656E3B">
      <w:pPr>
        <w:widowControl/>
        <w:jc w:val="left"/>
        <w:rPr>
          <w:rFonts w:hint="default" w:ascii="仿宋" w:hAnsi="仿宋" w:eastAsia="仿宋" w:cs="仿宋"/>
          <w:b w:val="0"/>
          <w:bCs w:val="0"/>
          <w:sz w:val="32"/>
          <w:szCs w:val="32"/>
          <w:lang w:val="en-US" w:eastAsia="zh-CN"/>
        </w:rPr>
      </w:pPr>
      <w:r>
        <w:rPr>
          <w:rFonts w:hint="default" w:eastAsia="宋体"/>
          <w:lang w:val="en-US" w:eastAsia="zh-CN"/>
        </w:rPr>
        <w:drawing>
          <wp:anchor distT="0" distB="0" distL="114300" distR="114300" simplePos="0" relativeHeight="251661312" behindDoc="1" locked="0" layoutInCell="1" allowOverlap="1">
            <wp:simplePos x="0" y="0"/>
            <wp:positionH relativeFrom="column">
              <wp:posOffset>328930</wp:posOffset>
            </wp:positionH>
            <wp:positionV relativeFrom="paragraph">
              <wp:posOffset>535305</wp:posOffset>
            </wp:positionV>
            <wp:extent cx="4733290" cy="7738110"/>
            <wp:effectExtent l="0" t="0" r="0" b="0"/>
            <wp:wrapTight wrapText="bothSides">
              <wp:wrapPolygon>
                <wp:start x="0" y="0"/>
                <wp:lineTo x="0" y="21536"/>
                <wp:lineTo x="21472" y="21536"/>
                <wp:lineTo x="21472" y="0"/>
                <wp:lineTo x="0" y="0"/>
              </wp:wrapPolygon>
            </wp:wrapTight>
            <wp:docPr id="7" name="图片 7" descr="微信图片_2024060211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602110321"/>
                    <pic:cNvPicPr>
                      <a:picLocks noChangeAspect="1"/>
                    </pic:cNvPicPr>
                  </pic:nvPicPr>
                  <pic:blipFill>
                    <a:blip r:embed="rId9"/>
                    <a:srcRect b="8044"/>
                    <a:stretch>
                      <a:fillRect/>
                    </a:stretch>
                  </pic:blipFill>
                  <pic:spPr>
                    <a:xfrm>
                      <a:off x="1704340" y="1214755"/>
                      <a:ext cx="4733290" cy="7738110"/>
                    </a:xfrm>
                    <a:prstGeom prst="rect">
                      <a:avLst/>
                    </a:prstGeom>
                  </pic:spPr>
                </pic:pic>
              </a:graphicData>
            </a:graphic>
          </wp:anchor>
        </w:drawing>
      </w:r>
      <w:r>
        <w:rPr>
          <w:rFonts w:hint="eastAsia" w:ascii="仿宋" w:hAnsi="仿宋" w:eastAsia="仿宋" w:cs="仿宋"/>
          <w:b/>
          <w:bCs/>
          <w:sz w:val="32"/>
          <w:szCs w:val="32"/>
          <w:lang w:val="en-US" w:eastAsia="zh-CN"/>
        </w:rPr>
        <w:t>附件2</w:t>
      </w:r>
      <w:r>
        <w:rPr>
          <w:rFonts w:hint="eastAsia" w:ascii="仿宋" w:hAnsi="仿宋" w:eastAsia="仿宋" w:cs="仿宋"/>
          <w:b w:val="0"/>
          <w:bCs w:val="0"/>
          <w:sz w:val="32"/>
          <w:szCs w:val="32"/>
          <w:lang w:val="en-US" w:eastAsia="zh-CN"/>
        </w:rPr>
        <w:t xml:space="preserve">   项目单位送审资料</w:t>
      </w:r>
    </w:p>
    <w:p w14:paraId="600FEAAA">
      <w:pPr>
        <w:widowControl/>
        <w:jc w:val="center"/>
        <w:rPr>
          <w:rFonts w:hint="eastAsia" w:ascii="方正小标宋简体" w:hAnsi="方正小标宋简体" w:eastAsia="方正小标宋简体" w:cs="宋体"/>
          <w:bCs/>
          <w:color w:val="000000"/>
          <w:kern w:val="0"/>
          <w:sz w:val="36"/>
          <w:szCs w:val="36"/>
        </w:rPr>
      </w:pPr>
    </w:p>
    <w:p w14:paraId="079AE087">
      <w:pPr>
        <w:widowControl/>
        <w:jc w:val="center"/>
        <w:rPr>
          <w:rFonts w:hint="eastAsia" w:ascii="方正小标宋简体" w:hAnsi="方正小标宋简体" w:eastAsia="方正小标宋简体" w:cs="宋体"/>
          <w:bCs/>
          <w:color w:val="000000"/>
          <w:kern w:val="0"/>
          <w:sz w:val="36"/>
          <w:szCs w:val="36"/>
        </w:rPr>
      </w:pPr>
    </w:p>
    <w:p w14:paraId="57747E87">
      <w:pPr>
        <w:widowControl/>
        <w:jc w:val="center"/>
        <w:rPr>
          <w:rFonts w:hint="eastAsia" w:ascii="方正小标宋简体" w:hAnsi="方正小标宋简体" w:eastAsia="方正小标宋简体" w:cs="宋体"/>
          <w:bCs/>
          <w:color w:val="000000"/>
          <w:kern w:val="0"/>
          <w:sz w:val="36"/>
          <w:szCs w:val="36"/>
        </w:rPr>
      </w:pPr>
    </w:p>
    <w:p w14:paraId="3C21CFF9">
      <w:pPr>
        <w:widowControl/>
        <w:jc w:val="center"/>
        <w:rPr>
          <w:rFonts w:hint="eastAsia" w:ascii="方正小标宋简体" w:hAnsi="方正小标宋简体" w:eastAsia="方正小标宋简体" w:cs="宋体"/>
          <w:bCs/>
          <w:color w:val="000000"/>
          <w:kern w:val="0"/>
          <w:sz w:val="36"/>
          <w:szCs w:val="36"/>
        </w:rPr>
      </w:pPr>
    </w:p>
    <w:p w14:paraId="33ED500E">
      <w:pPr>
        <w:widowControl/>
        <w:jc w:val="center"/>
        <w:rPr>
          <w:rFonts w:hint="eastAsia" w:ascii="方正小标宋简体" w:hAnsi="方正小标宋简体" w:eastAsia="方正小标宋简体" w:cs="宋体"/>
          <w:bCs/>
          <w:color w:val="000000"/>
          <w:kern w:val="0"/>
          <w:sz w:val="36"/>
          <w:szCs w:val="36"/>
        </w:rPr>
      </w:pPr>
    </w:p>
    <w:p w14:paraId="0374DE1D">
      <w:pPr>
        <w:widowControl/>
        <w:jc w:val="center"/>
        <w:rPr>
          <w:rFonts w:hint="eastAsia" w:ascii="方正小标宋简体" w:hAnsi="方正小标宋简体" w:eastAsia="方正小标宋简体" w:cs="宋体"/>
          <w:bCs/>
          <w:color w:val="000000"/>
          <w:kern w:val="0"/>
          <w:sz w:val="36"/>
          <w:szCs w:val="36"/>
        </w:rPr>
      </w:pPr>
    </w:p>
    <w:p w14:paraId="24BA4E54">
      <w:pPr>
        <w:widowControl/>
        <w:jc w:val="center"/>
        <w:rPr>
          <w:rFonts w:hint="eastAsia" w:ascii="方正小标宋简体" w:hAnsi="方正小标宋简体" w:eastAsia="方正小标宋简体" w:cs="宋体"/>
          <w:bCs/>
          <w:color w:val="000000"/>
          <w:kern w:val="0"/>
          <w:sz w:val="36"/>
          <w:szCs w:val="36"/>
        </w:rPr>
      </w:pPr>
    </w:p>
    <w:p w14:paraId="750006BD">
      <w:pPr>
        <w:widowControl/>
        <w:jc w:val="center"/>
        <w:rPr>
          <w:rFonts w:hint="eastAsia" w:ascii="方正小标宋简体" w:hAnsi="方正小标宋简体" w:eastAsia="方正小标宋简体" w:cs="宋体"/>
          <w:bCs/>
          <w:color w:val="000000"/>
          <w:kern w:val="0"/>
          <w:sz w:val="36"/>
          <w:szCs w:val="36"/>
        </w:rPr>
      </w:pPr>
    </w:p>
    <w:p w14:paraId="1AC98EEF">
      <w:pPr>
        <w:widowControl/>
        <w:jc w:val="center"/>
        <w:rPr>
          <w:rFonts w:hint="eastAsia" w:ascii="方正小标宋简体" w:hAnsi="方正小标宋简体" w:eastAsia="方正小标宋简体" w:cs="宋体"/>
          <w:bCs/>
          <w:color w:val="000000"/>
          <w:kern w:val="0"/>
          <w:sz w:val="36"/>
          <w:szCs w:val="36"/>
        </w:rPr>
      </w:pPr>
    </w:p>
    <w:p w14:paraId="1766C790">
      <w:pPr>
        <w:widowControl/>
        <w:jc w:val="center"/>
        <w:rPr>
          <w:rFonts w:hint="eastAsia" w:ascii="方正小标宋简体" w:hAnsi="方正小标宋简体" w:eastAsia="方正小标宋简体" w:cs="宋体"/>
          <w:bCs/>
          <w:color w:val="000000"/>
          <w:kern w:val="0"/>
          <w:sz w:val="36"/>
          <w:szCs w:val="36"/>
        </w:rPr>
      </w:pPr>
    </w:p>
    <w:p w14:paraId="67112226">
      <w:pPr>
        <w:widowControl/>
        <w:jc w:val="center"/>
        <w:rPr>
          <w:rFonts w:hint="eastAsia" w:ascii="方正小标宋简体" w:hAnsi="方正小标宋简体" w:eastAsia="方正小标宋简体" w:cs="宋体"/>
          <w:bCs/>
          <w:color w:val="000000"/>
          <w:kern w:val="0"/>
          <w:sz w:val="36"/>
          <w:szCs w:val="36"/>
        </w:rPr>
      </w:pPr>
    </w:p>
    <w:p w14:paraId="5C27C455">
      <w:pPr>
        <w:widowControl/>
        <w:jc w:val="center"/>
        <w:rPr>
          <w:rFonts w:hint="eastAsia" w:ascii="方正小标宋简体" w:hAnsi="方正小标宋简体" w:eastAsia="方正小标宋简体" w:cs="宋体"/>
          <w:bCs/>
          <w:color w:val="000000"/>
          <w:kern w:val="0"/>
          <w:sz w:val="36"/>
          <w:szCs w:val="36"/>
        </w:rPr>
      </w:pPr>
    </w:p>
    <w:p w14:paraId="59EBF897">
      <w:pPr>
        <w:widowControl/>
        <w:jc w:val="center"/>
        <w:rPr>
          <w:rFonts w:hint="eastAsia" w:ascii="方正小标宋简体" w:hAnsi="方正小标宋简体" w:eastAsia="方正小标宋简体" w:cs="宋体"/>
          <w:bCs/>
          <w:color w:val="000000"/>
          <w:kern w:val="0"/>
          <w:sz w:val="36"/>
          <w:szCs w:val="36"/>
        </w:rPr>
      </w:pPr>
    </w:p>
    <w:p w14:paraId="493BA8AC">
      <w:pPr>
        <w:widowControl/>
        <w:jc w:val="center"/>
        <w:rPr>
          <w:rFonts w:hint="eastAsia" w:ascii="方正小标宋简体" w:hAnsi="方正小标宋简体" w:eastAsia="方正小标宋简体" w:cs="宋体"/>
          <w:bCs/>
          <w:color w:val="000000"/>
          <w:kern w:val="0"/>
          <w:sz w:val="36"/>
          <w:szCs w:val="36"/>
        </w:rPr>
      </w:pPr>
    </w:p>
    <w:p w14:paraId="579D3838">
      <w:pPr>
        <w:widowControl/>
        <w:jc w:val="center"/>
        <w:rPr>
          <w:rFonts w:hint="eastAsia" w:ascii="方正小标宋简体" w:hAnsi="方正小标宋简体" w:eastAsia="方正小标宋简体" w:cs="宋体"/>
          <w:bCs/>
          <w:color w:val="000000"/>
          <w:kern w:val="0"/>
          <w:sz w:val="36"/>
          <w:szCs w:val="36"/>
        </w:rPr>
      </w:pPr>
    </w:p>
    <w:p w14:paraId="4F765BC0">
      <w:pPr>
        <w:widowControl/>
        <w:jc w:val="center"/>
        <w:rPr>
          <w:rFonts w:hint="eastAsia" w:ascii="方正小标宋简体" w:hAnsi="方正小标宋简体" w:eastAsia="方正小标宋简体" w:cs="宋体"/>
          <w:bCs/>
          <w:color w:val="000000"/>
          <w:kern w:val="0"/>
          <w:sz w:val="36"/>
          <w:szCs w:val="36"/>
        </w:rPr>
      </w:pPr>
    </w:p>
    <w:p w14:paraId="059BDDE7">
      <w:pPr>
        <w:widowControl/>
        <w:jc w:val="center"/>
        <w:rPr>
          <w:rFonts w:hint="eastAsia" w:ascii="方正小标宋简体" w:hAnsi="方正小标宋简体" w:eastAsia="方正小标宋简体" w:cs="宋体"/>
          <w:bCs/>
          <w:color w:val="000000"/>
          <w:kern w:val="0"/>
          <w:sz w:val="36"/>
          <w:szCs w:val="36"/>
        </w:rPr>
      </w:pPr>
    </w:p>
    <w:p w14:paraId="0892FD39">
      <w:pPr>
        <w:widowControl/>
        <w:jc w:val="center"/>
        <w:rPr>
          <w:rFonts w:hint="eastAsia" w:ascii="方正小标宋简体" w:hAnsi="方正小标宋简体" w:eastAsia="方正小标宋简体" w:cs="宋体"/>
          <w:bCs/>
          <w:color w:val="000000"/>
          <w:kern w:val="0"/>
          <w:sz w:val="36"/>
          <w:szCs w:val="36"/>
        </w:rPr>
      </w:pPr>
    </w:p>
    <w:p w14:paraId="516FF5BF">
      <w:pPr>
        <w:widowControl/>
        <w:jc w:val="center"/>
        <w:rPr>
          <w:rFonts w:hint="eastAsia" w:ascii="方正小标宋简体" w:hAnsi="方正小标宋简体" w:eastAsia="方正小标宋简体" w:cs="宋体"/>
          <w:bCs/>
          <w:color w:val="000000"/>
          <w:kern w:val="0"/>
          <w:sz w:val="36"/>
          <w:szCs w:val="36"/>
        </w:rPr>
      </w:pPr>
    </w:p>
    <w:p w14:paraId="411D4097">
      <w:pPr>
        <w:widowControl/>
        <w:jc w:val="center"/>
        <w:rPr>
          <w:rFonts w:hint="eastAsia" w:ascii="方正小标宋简体" w:hAnsi="方正小标宋简体" w:eastAsia="方正小标宋简体" w:cs="宋体"/>
          <w:bCs/>
          <w:color w:val="000000"/>
          <w:kern w:val="0"/>
          <w:sz w:val="36"/>
          <w:szCs w:val="36"/>
        </w:rPr>
      </w:pPr>
    </w:p>
    <w:p w14:paraId="005C7BD1">
      <w:pPr>
        <w:widowControl/>
        <w:jc w:val="center"/>
        <w:rPr>
          <w:rFonts w:hint="eastAsia" w:ascii="方正小标宋简体" w:hAnsi="方正小标宋简体" w:eastAsia="方正小标宋简体" w:cs="宋体"/>
          <w:bCs/>
          <w:color w:val="000000"/>
          <w:kern w:val="0"/>
          <w:sz w:val="36"/>
          <w:szCs w:val="36"/>
        </w:rPr>
      </w:pPr>
    </w:p>
    <w:p w14:paraId="384332B9">
      <w:pPr>
        <w:widowControl/>
        <w:jc w:val="center"/>
        <w:rPr>
          <w:rFonts w:hint="eastAsia" w:ascii="方正小标宋简体" w:hAnsi="方正小标宋简体" w:eastAsia="方正小标宋简体" w:cs="宋体"/>
          <w:bCs/>
          <w:color w:val="000000"/>
          <w:kern w:val="0"/>
          <w:sz w:val="36"/>
          <w:szCs w:val="36"/>
        </w:rPr>
      </w:pPr>
      <w:r>
        <w:rPr>
          <w:rFonts w:hint="default" w:eastAsia="宋体"/>
          <w:lang w:val="en-US" w:eastAsia="zh-CN"/>
        </w:rPr>
        <w:drawing>
          <wp:anchor distT="0" distB="0" distL="114300" distR="114300" simplePos="0" relativeHeight="251662336" behindDoc="1" locked="0" layoutInCell="1" allowOverlap="1">
            <wp:simplePos x="0" y="0"/>
            <wp:positionH relativeFrom="column">
              <wp:posOffset>154940</wp:posOffset>
            </wp:positionH>
            <wp:positionV relativeFrom="paragraph">
              <wp:posOffset>194310</wp:posOffset>
            </wp:positionV>
            <wp:extent cx="5298440" cy="7581265"/>
            <wp:effectExtent l="0" t="0" r="16510" b="635"/>
            <wp:wrapNone/>
            <wp:docPr id="1" name="图片 1" descr="微信图片_2024060211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602110347"/>
                    <pic:cNvPicPr>
                      <a:picLocks noChangeAspect="1"/>
                    </pic:cNvPicPr>
                  </pic:nvPicPr>
                  <pic:blipFill>
                    <a:blip r:embed="rId10"/>
                    <a:srcRect l="6388" t="20485"/>
                    <a:stretch>
                      <a:fillRect/>
                    </a:stretch>
                  </pic:blipFill>
                  <pic:spPr>
                    <a:xfrm>
                      <a:off x="1425575" y="1587500"/>
                      <a:ext cx="5298440" cy="7581265"/>
                    </a:xfrm>
                    <a:prstGeom prst="rect">
                      <a:avLst/>
                    </a:prstGeom>
                  </pic:spPr>
                </pic:pic>
              </a:graphicData>
            </a:graphic>
          </wp:anchor>
        </w:drawing>
      </w:r>
    </w:p>
    <w:p w14:paraId="350609A2">
      <w:pPr>
        <w:widowControl/>
        <w:jc w:val="center"/>
        <w:rPr>
          <w:rFonts w:hint="eastAsia" w:ascii="方正小标宋简体" w:hAnsi="方正小标宋简体" w:eastAsia="方正小标宋简体" w:cs="宋体"/>
          <w:bCs/>
          <w:color w:val="000000"/>
          <w:kern w:val="0"/>
          <w:sz w:val="36"/>
          <w:szCs w:val="36"/>
        </w:rPr>
      </w:pPr>
    </w:p>
    <w:p w14:paraId="7620CAD5">
      <w:pPr>
        <w:widowControl/>
        <w:jc w:val="center"/>
        <w:rPr>
          <w:rFonts w:hint="eastAsia" w:ascii="方正小标宋简体" w:hAnsi="方正小标宋简体" w:eastAsia="方正小标宋简体" w:cs="宋体"/>
          <w:bCs/>
          <w:color w:val="000000"/>
          <w:kern w:val="0"/>
          <w:sz w:val="36"/>
          <w:szCs w:val="36"/>
        </w:rPr>
      </w:pPr>
    </w:p>
    <w:p w14:paraId="354B0D5F">
      <w:pPr>
        <w:widowControl/>
        <w:jc w:val="center"/>
        <w:rPr>
          <w:rFonts w:hint="eastAsia" w:ascii="方正小标宋简体" w:hAnsi="方正小标宋简体" w:eastAsia="方正小标宋简体" w:cs="宋体"/>
          <w:bCs/>
          <w:color w:val="000000"/>
          <w:kern w:val="0"/>
          <w:sz w:val="36"/>
          <w:szCs w:val="36"/>
        </w:rPr>
      </w:pPr>
    </w:p>
    <w:p w14:paraId="719E52A9">
      <w:pPr>
        <w:widowControl/>
        <w:jc w:val="center"/>
        <w:rPr>
          <w:rFonts w:hint="eastAsia" w:ascii="方正小标宋简体" w:hAnsi="方正小标宋简体" w:eastAsia="方正小标宋简体" w:cs="宋体"/>
          <w:bCs/>
          <w:color w:val="000000"/>
          <w:kern w:val="0"/>
          <w:sz w:val="36"/>
          <w:szCs w:val="36"/>
        </w:rPr>
      </w:pPr>
    </w:p>
    <w:p w14:paraId="55D35E4F">
      <w:pPr>
        <w:widowControl/>
        <w:jc w:val="center"/>
        <w:rPr>
          <w:rFonts w:hint="eastAsia" w:ascii="方正小标宋简体" w:hAnsi="方正小标宋简体" w:eastAsia="方正小标宋简体" w:cs="宋体"/>
          <w:bCs/>
          <w:color w:val="000000"/>
          <w:kern w:val="0"/>
          <w:sz w:val="36"/>
          <w:szCs w:val="36"/>
        </w:rPr>
      </w:pPr>
    </w:p>
    <w:p w14:paraId="7623A398">
      <w:pPr>
        <w:widowControl/>
        <w:jc w:val="center"/>
        <w:rPr>
          <w:rFonts w:hint="eastAsia" w:ascii="方正小标宋简体" w:hAnsi="方正小标宋简体" w:eastAsia="方正小标宋简体" w:cs="宋体"/>
          <w:bCs/>
          <w:color w:val="000000"/>
          <w:kern w:val="0"/>
          <w:sz w:val="36"/>
          <w:szCs w:val="36"/>
        </w:rPr>
      </w:pPr>
    </w:p>
    <w:p w14:paraId="5167C65B">
      <w:pPr>
        <w:widowControl/>
        <w:jc w:val="center"/>
        <w:rPr>
          <w:rFonts w:hint="eastAsia" w:ascii="方正小标宋简体" w:hAnsi="方正小标宋简体" w:eastAsia="方正小标宋简体" w:cs="宋体"/>
          <w:bCs/>
          <w:color w:val="000000"/>
          <w:kern w:val="0"/>
          <w:sz w:val="36"/>
          <w:szCs w:val="36"/>
        </w:rPr>
      </w:pPr>
    </w:p>
    <w:p w14:paraId="6833E8D7">
      <w:pPr>
        <w:widowControl/>
        <w:jc w:val="center"/>
        <w:rPr>
          <w:rFonts w:hint="eastAsia" w:ascii="方正小标宋简体" w:hAnsi="方正小标宋简体" w:eastAsia="方正小标宋简体" w:cs="宋体"/>
          <w:bCs/>
          <w:color w:val="000000"/>
          <w:kern w:val="0"/>
          <w:sz w:val="36"/>
          <w:szCs w:val="36"/>
        </w:rPr>
      </w:pPr>
    </w:p>
    <w:p w14:paraId="592DC440">
      <w:pPr>
        <w:widowControl/>
        <w:jc w:val="center"/>
        <w:rPr>
          <w:rFonts w:hint="eastAsia" w:ascii="方正小标宋简体" w:hAnsi="方正小标宋简体" w:eastAsia="方正小标宋简体" w:cs="宋体"/>
          <w:bCs/>
          <w:color w:val="000000"/>
          <w:kern w:val="0"/>
          <w:sz w:val="36"/>
          <w:szCs w:val="36"/>
        </w:rPr>
      </w:pPr>
    </w:p>
    <w:p w14:paraId="0ABD19EE">
      <w:pPr>
        <w:widowControl/>
        <w:jc w:val="center"/>
        <w:rPr>
          <w:rFonts w:hint="eastAsia" w:ascii="方正小标宋简体" w:hAnsi="方正小标宋简体" w:eastAsia="方正小标宋简体" w:cs="宋体"/>
          <w:bCs/>
          <w:color w:val="000000"/>
          <w:kern w:val="0"/>
          <w:sz w:val="36"/>
          <w:szCs w:val="36"/>
        </w:rPr>
      </w:pPr>
    </w:p>
    <w:p w14:paraId="7A6F5DBB">
      <w:pPr>
        <w:widowControl/>
        <w:jc w:val="center"/>
        <w:rPr>
          <w:rFonts w:hint="eastAsia" w:ascii="方正小标宋简体" w:hAnsi="方正小标宋简体" w:eastAsia="方正小标宋简体" w:cs="宋体"/>
          <w:bCs/>
          <w:color w:val="000000"/>
          <w:kern w:val="0"/>
          <w:sz w:val="36"/>
          <w:szCs w:val="36"/>
        </w:rPr>
      </w:pPr>
    </w:p>
    <w:p w14:paraId="3FBDDD89">
      <w:pPr>
        <w:widowControl/>
        <w:jc w:val="center"/>
        <w:rPr>
          <w:rFonts w:hint="eastAsia" w:ascii="方正小标宋简体" w:hAnsi="方正小标宋简体" w:eastAsia="方正小标宋简体" w:cs="宋体"/>
          <w:bCs/>
          <w:color w:val="000000"/>
          <w:kern w:val="0"/>
          <w:sz w:val="36"/>
          <w:szCs w:val="36"/>
        </w:rPr>
      </w:pPr>
    </w:p>
    <w:p w14:paraId="7362565D">
      <w:pPr>
        <w:widowControl/>
        <w:jc w:val="center"/>
        <w:rPr>
          <w:rFonts w:hint="eastAsia" w:ascii="方正小标宋简体" w:hAnsi="方正小标宋简体" w:eastAsia="方正小标宋简体" w:cs="宋体"/>
          <w:bCs/>
          <w:color w:val="000000"/>
          <w:kern w:val="0"/>
          <w:sz w:val="36"/>
          <w:szCs w:val="36"/>
        </w:rPr>
      </w:pPr>
    </w:p>
    <w:p w14:paraId="30B4458F">
      <w:pPr>
        <w:widowControl/>
        <w:jc w:val="center"/>
        <w:rPr>
          <w:rFonts w:hint="eastAsia" w:ascii="方正小标宋简体" w:hAnsi="方正小标宋简体" w:eastAsia="方正小标宋简体" w:cs="宋体"/>
          <w:bCs/>
          <w:color w:val="000000"/>
          <w:kern w:val="0"/>
          <w:sz w:val="36"/>
          <w:szCs w:val="36"/>
        </w:rPr>
      </w:pPr>
    </w:p>
    <w:p w14:paraId="5A27BFB5">
      <w:pPr>
        <w:widowControl/>
        <w:jc w:val="center"/>
        <w:rPr>
          <w:rFonts w:hint="eastAsia" w:ascii="方正小标宋简体" w:hAnsi="方正小标宋简体" w:eastAsia="方正小标宋简体" w:cs="宋体"/>
          <w:bCs/>
          <w:color w:val="000000"/>
          <w:kern w:val="0"/>
          <w:sz w:val="36"/>
          <w:szCs w:val="36"/>
        </w:rPr>
      </w:pPr>
    </w:p>
    <w:p w14:paraId="327708A7">
      <w:pPr>
        <w:widowControl/>
        <w:jc w:val="center"/>
        <w:rPr>
          <w:rFonts w:hint="eastAsia" w:ascii="方正小标宋简体" w:hAnsi="方正小标宋简体" w:eastAsia="方正小标宋简体" w:cs="宋体"/>
          <w:bCs/>
          <w:color w:val="000000"/>
          <w:kern w:val="0"/>
          <w:sz w:val="36"/>
          <w:szCs w:val="36"/>
        </w:rPr>
      </w:pPr>
    </w:p>
    <w:p w14:paraId="23DC960A">
      <w:pPr>
        <w:widowControl/>
        <w:jc w:val="center"/>
        <w:rPr>
          <w:rFonts w:hint="eastAsia" w:ascii="方正小标宋简体" w:hAnsi="方正小标宋简体" w:eastAsia="方正小标宋简体" w:cs="宋体"/>
          <w:bCs/>
          <w:color w:val="000000"/>
          <w:kern w:val="0"/>
          <w:sz w:val="36"/>
          <w:szCs w:val="36"/>
        </w:rPr>
      </w:pPr>
    </w:p>
    <w:p w14:paraId="41C701B1">
      <w:pPr>
        <w:widowControl/>
        <w:jc w:val="center"/>
        <w:rPr>
          <w:rFonts w:hint="eastAsia" w:ascii="方正小标宋简体" w:hAnsi="方正小标宋简体" w:eastAsia="方正小标宋简体" w:cs="宋体"/>
          <w:bCs/>
          <w:color w:val="000000"/>
          <w:kern w:val="0"/>
          <w:sz w:val="36"/>
          <w:szCs w:val="36"/>
        </w:rPr>
      </w:pPr>
    </w:p>
    <w:p w14:paraId="1BAB55FB">
      <w:pPr>
        <w:widowControl/>
        <w:jc w:val="center"/>
        <w:rPr>
          <w:rFonts w:hint="eastAsia" w:ascii="方正小标宋简体" w:hAnsi="方正小标宋简体" w:eastAsia="方正小标宋简体" w:cs="宋体"/>
          <w:bCs/>
          <w:color w:val="000000"/>
          <w:kern w:val="0"/>
          <w:sz w:val="36"/>
          <w:szCs w:val="36"/>
        </w:rPr>
      </w:pPr>
    </w:p>
    <w:p w14:paraId="0EC14F6A">
      <w:pPr>
        <w:widowControl/>
        <w:jc w:val="center"/>
        <w:rPr>
          <w:rFonts w:ascii="方正小标宋简体" w:hAnsi="方正小标宋简体" w:eastAsia="方正小标宋简体" w:cs="宋体"/>
          <w:bCs/>
          <w:color w:val="000000"/>
          <w:kern w:val="0"/>
          <w:sz w:val="36"/>
          <w:szCs w:val="36"/>
        </w:rPr>
      </w:pPr>
      <w:r>
        <w:rPr>
          <w:rFonts w:hint="eastAsia" w:ascii="方正小标宋简体" w:hAnsi="方正小标宋简体" w:eastAsia="方正小标宋简体" w:cs="宋体"/>
          <w:bCs/>
          <w:color w:val="000000"/>
          <w:kern w:val="0"/>
          <w:sz w:val="36"/>
          <w:szCs w:val="36"/>
        </w:rPr>
        <w:t>宝鸡市蟠龙高新技术产业开发区总体规划和</w:t>
      </w:r>
    </w:p>
    <w:p w14:paraId="2F04B7A4">
      <w:pPr>
        <w:widowControl/>
        <w:jc w:val="center"/>
        <w:rPr>
          <w:rFonts w:ascii="方正小标宋简体" w:hAnsi="方正小标宋简体" w:eastAsia="方正小标宋简体" w:cs="宋体"/>
          <w:bCs/>
          <w:color w:val="000000"/>
          <w:kern w:val="0"/>
          <w:sz w:val="36"/>
          <w:szCs w:val="36"/>
        </w:rPr>
      </w:pPr>
      <w:r>
        <w:rPr>
          <w:rFonts w:hint="eastAsia" w:ascii="方正小标宋简体" w:hAnsi="方正小标宋简体" w:eastAsia="方正小标宋简体" w:cs="宋体"/>
          <w:bCs/>
          <w:color w:val="000000"/>
          <w:kern w:val="0"/>
          <w:sz w:val="36"/>
          <w:szCs w:val="36"/>
        </w:rPr>
        <w:t>蟠龙新区控制性详细规划计费说明</w:t>
      </w:r>
    </w:p>
    <w:p w14:paraId="148EC3BF">
      <w:pPr>
        <w:widowControl/>
        <w:ind w:firstLine="600" w:firstLineChars="200"/>
        <w:jc w:val="center"/>
        <w:rPr>
          <w:rFonts w:ascii="仿宋_GB2312" w:eastAsia="仿宋_GB2312"/>
          <w:sz w:val="30"/>
          <w:szCs w:val="30"/>
        </w:rPr>
      </w:pPr>
    </w:p>
    <w:p w14:paraId="40EB9CA9">
      <w:pPr>
        <w:widowControl/>
        <w:ind w:firstLine="600" w:firstLineChars="200"/>
        <w:jc w:val="left"/>
        <w:rPr>
          <w:rFonts w:ascii="仿宋_GB2312" w:hAnsi="宋体" w:eastAsia="仿宋_GB2312" w:cs="宋体"/>
          <w:bCs/>
          <w:color w:val="000000"/>
          <w:kern w:val="0"/>
          <w:sz w:val="30"/>
          <w:szCs w:val="30"/>
        </w:rPr>
      </w:pPr>
      <w:r>
        <w:rPr>
          <w:rFonts w:hint="eastAsia" w:ascii="仿宋_GB2312" w:eastAsia="仿宋_GB2312"/>
          <w:sz w:val="30"/>
          <w:szCs w:val="30"/>
        </w:rPr>
        <w:t>按照</w:t>
      </w:r>
      <w:r>
        <w:rPr>
          <w:rFonts w:ascii="仿宋_GB2312" w:eastAsia="仿宋_GB2312"/>
          <w:sz w:val="30"/>
          <w:szCs w:val="30"/>
        </w:rPr>
        <w:t>国家关于构建新时代国土空间规划体系的工作要求，</w:t>
      </w:r>
      <w:r>
        <w:rPr>
          <w:rFonts w:hint="eastAsia" w:ascii="仿宋_GB2312" w:eastAsia="仿宋_GB2312"/>
          <w:sz w:val="30"/>
          <w:szCs w:val="30"/>
        </w:rPr>
        <w:t>落实</w:t>
      </w:r>
      <w:r>
        <w:rPr>
          <w:rFonts w:hint="eastAsia" w:ascii="仿宋_GB2312" w:eastAsia="仿宋_GB2312"/>
          <w:bCs/>
          <w:color w:val="000000"/>
          <w:sz w:val="30"/>
          <w:szCs w:val="30"/>
        </w:rPr>
        <w:t>市委</w:t>
      </w:r>
      <w:r>
        <w:rPr>
          <w:rFonts w:hint="eastAsia" w:ascii="仿宋_GB2312" w:eastAsia="仿宋_GB2312"/>
          <w:bCs/>
          <w:color w:val="000000"/>
          <w:sz w:val="30"/>
          <w:szCs w:val="30"/>
          <w:lang w:eastAsia="zh-CN"/>
        </w:rPr>
        <w:t>、</w:t>
      </w:r>
      <w:bookmarkStart w:id="4" w:name="_GoBack"/>
      <w:bookmarkEnd w:id="4"/>
      <w:r>
        <w:rPr>
          <w:rFonts w:hint="eastAsia" w:ascii="仿宋_GB2312" w:eastAsia="仿宋_GB2312"/>
          <w:bCs/>
          <w:color w:val="000000"/>
          <w:sz w:val="30"/>
          <w:szCs w:val="30"/>
        </w:rPr>
        <w:t>市政府关于蟠龙高新技术产业开发区的战略定位，</w:t>
      </w:r>
      <w:r>
        <w:rPr>
          <w:rFonts w:hint="eastAsia" w:ascii="仿宋_GB2312" w:hAnsi="宋体" w:eastAsia="仿宋_GB2312" w:cs="宋体"/>
          <w:bCs/>
          <w:color w:val="000000"/>
          <w:kern w:val="0"/>
          <w:sz w:val="30"/>
          <w:szCs w:val="30"/>
        </w:rPr>
        <w:t>推动社会</w:t>
      </w:r>
      <w:r>
        <w:rPr>
          <w:rFonts w:ascii="仿宋_GB2312" w:hAnsi="宋体" w:eastAsia="仿宋_GB2312" w:cs="宋体"/>
          <w:bCs/>
          <w:color w:val="000000"/>
          <w:kern w:val="0"/>
          <w:sz w:val="30"/>
          <w:szCs w:val="30"/>
        </w:rPr>
        <w:t>经济全面高质量发展</w:t>
      </w:r>
      <w:r>
        <w:rPr>
          <w:rFonts w:hint="eastAsia" w:ascii="仿宋_GB2312" w:hAnsi="宋体" w:eastAsia="仿宋_GB2312" w:cs="宋体"/>
          <w:bCs/>
          <w:color w:val="000000"/>
          <w:kern w:val="0"/>
          <w:sz w:val="30"/>
          <w:szCs w:val="30"/>
        </w:rPr>
        <w:t>，管委会</w:t>
      </w:r>
      <w:r>
        <w:rPr>
          <w:rFonts w:ascii="仿宋_GB2312" w:hAnsi="宋体" w:eastAsia="仿宋_GB2312" w:cs="宋体"/>
          <w:bCs/>
          <w:color w:val="000000"/>
          <w:kern w:val="0"/>
          <w:sz w:val="30"/>
          <w:szCs w:val="30"/>
        </w:rPr>
        <w:t>按照省市工作部署，</w:t>
      </w:r>
      <w:r>
        <w:rPr>
          <w:rFonts w:hint="eastAsia" w:ascii="仿宋_GB2312" w:hAnsi="宋体" w:eastAsia="仿宋_GB2312" w:cs="宋体"/>
          <w:bCs/>
          <w:color w:val="000000"/>
          <w:kern w:val="0"/>
          <w:sz w:val="30"/>
          <w:szCs w:val="30"/>
        </w:rPr>
        <w:t>计划组织开展宝鸡市蟠龙高新技术产业开发区总体规划（以下</w:t>
      </w:r>
      <w:r>
        <w:rPr>
          <w:rFonts w:ascii="仿宋_GB2312" w:hAnsi="宋体" w:eastAsia="仿宋_GB2312" w:cs="宋体"/>
          <w:bCs/>
          <w:color w:val="000000"/>
          <w:kern w:val="0"/>
          <w:sz w:val="30"/>
          <w:szCs w:val="30"/>
        </w:rPr>
        <w:t>简称总规</w:t>
      </w:r>
      <w:r>
        <w:rPr>
          <w:rFonts w:hint="eastAsia" w:ascii="仿宋_GB2312" w:hAnsi="宋体" w:eastAsia="仿宋_GB2312" w:cs="宋体"/>
          <w:bCs/>
          <w:color w:val="000000"/>
          <w:kern w:val="0"/>
          <w:sz w:val="30"/>
          <w:szCs w:val="30"/>
        </w:rPr>
        <w:t>）和蟠龙新区控制性详细规划（以下</w:t>
      </w:r>
      <w:r>
        <w:rPr>
          <w:rFonts w:ascii="仿宋_GB2312" w:hAnsi="宋体" w:eastAsia="仿宋_GB2312" w:cs="宋体"/>
          <w:bCs/>
          <w:color w:val="000000"/>
          <w:kern w:val="0"/>
          <w:sz w:val="30"/>
          <w:szCs w:val="30"/>
        </w:rPr>
        <w:t>简称控规</w:t>
      </w:r>
      <w:r>
        <w:rPr>
          <w:rFonts w:hint="eastAsia" w:ascii="仿宋_GB2312" w:hAnsi="宋体" w:eastAsia="仿宋_GB2312" w:cs="宋体"/>
          <w:bCs/>
          <w:color w:val="000000"/>
          <w:kern w:val="0"/>
          <w:sz w:val="30"/>
          <w:szCs w:val="30"/>
        </w:rPr>
        <w:t>）编制</w:t>
      </w:r>
      <w:r>
        <w:rPr>
          <w:rFonts w:ascii="仿宋_GB2312" w:hAnsi="宋体" w:eastAsia="仿宋_GB2312" w:cs="宋体"/>
          <w:bCs/>
          <w:color w:val="000000"/>
          <w:kern w:val="0"/>
          <w:sz w:val="30"/>
          <w:szCs w:val="30"/>
        </w:rPr>
        <w:t>工作</w:t>
      </w:r>
      <w:r>
        <w:rPr>
          <w:rFonts w:hint="eastAsia" w:ascii="仿宋_GB2312" w:hAnsi="宋体" w:eastAsia="仿宋_GB2312" w:cs="宋体"/>
          <w:bCs/>
          <w:color w:val="000000"/>
          <w:kern w:val="0"/>
          <w:sz w:val="30"/>
          <w:szCs w:val="30"/>
        </w:rPr>
        <w:t>。</w:t>
      </w:r>
    </w:p>
    <w:p w14:paraId="6CA77588">
      <w:pPr>
        <w:widowControl/>
        <w:ind w:firstLine="600" w:firstLineChars="200"/>
        <w:jc w:val="left"/>
        <w:rPr>
          <w:rFonts w:ascii="仿宋_GB2312" w:eastAsia="仿宋_GB2312"/>
          <w:sz w:val="30"/>
          <w:szCs w:val="30"/>
        </w:rPr>
      </w:pPr>
      <w:r>
        <w:rPr>
          <w:rFonts w:hint="eastAsia" w:ascii="仿宋_GB2312" w:eastAsia="仿宋_GB2312"/>
          <w:sz w:val="30"/>
          <w:szCs w:val="30"/>
        </w:rPr>
        <w:t>其中总体规划范围共计51.75平方公里，包括蟠龙新区行政管理范围43.75平方公里和金河工业园园区范围8平方公里；控制性详细规划范围分为两个层次，第一个层次是规划研究范围，东西南北四面至塬边，面积共98.44平方公里，第二个层次控规编制范围，东西南三面至塬边，北至原控规的龙凤大道，面积共43.75平方公里。</w:t>
      </w:r>
    </w:p>
    <w:p w14:paraId="4C42859F">
      <w:pPr>
        <w:widowControl/>
        <w:ind w:firstLine="600" w:firstLineChars="200"/>
        <w:jc w:val="left"/>
        <w:rPr>
          <w:rFonts w:ascii="仿宋_GB2312" w:eastAsia="仿宋_GB2312"/>
          <w:sz w:val="30"/>
          <w:szCs w:val="30"/>
        </w:rPr>
      </w:pPr>
      <w:r>
        <w:rPr>
          <w:rFonts w:hint="eastAsia" w:ascii="仿宋_GB2312" w:eastAsia="仿宋_GB2312"/>
          <w:sz w:val="30"/>
          <w:szCs w:val="30"/>
        </w:rPr>
        <w:t>本次规划依据《城市规划设计计费指导意见》（</w:t>
      </w:r>
      <w:r>
        <w:rPr>
          <w:rFonts w:ascii="仿宋_GB2312" w:eastAsia="仿宋_GB2312"/>
          <w:sz w:val="30"/>
          <w:szCs w:val="30"/>
        </w:rPr>
        <w:t>2017</w:t>
      </w:r>
      <w:r>
        <w:rPr>
          <w:rFonts w:hint="eastAsia" w:ascii="仿宋_GB2312" w:eastAsia="仿宋_GB2312"/>
          <w:sz w:val="30"/>
          <w:szCs w:val="30"/>
        </w:rPr>
        <w:t>修订版），对总规及控规两项</w:t>
      </w:r>
      <w:r>
        <w:rPr>
          <w:rFonts w:ascii="仿宋_GB2312" w:eastAsia="仿宋_GB2312"/>
          <w:sz w:val="30"/>
          <w:szCs w:val="30"/>
        </w:rPr>
        <w:t>工作</w:t>
      </w:r>
      <w:r>
        <w:rPr>
          <w:rFonts w:hint="eastAsia" w:ascii="仿宋_GB2312" w:eastAsia="仿宋_GB2312"/>
          <w:sz w:val="30"/>
          <w:szCs w:val="30"/>
        </w:rPr>
        <w:t>进行</w:t>
      </w:r>
      <w:r>
        <w:rPr>
          <w:rFonts w:ascii="仿宋_GB2312" w:eastAsia="仿宋_GB2312"/>
          <w:sz w:val="30"/>
          <w:szCs w:val="30"/>
        </w:rPr>
        <w:t>费用测算</w:t>
      </w:r>
      <w:r>
        <w:rPr>
          <w:rFonts w:hint="eastAsia" w:ascii="仿宋_GB2312" w:eastAsia="仿宋_GB2312"/>
          <w:sz w:val="30"/>
          <w:szCs w:val="30"/>
        </w:rPr>
        <w:t>。</w:t>
      </w:r>
    </w:p>
    <w:p w14:paraId="74F9BB0D">
      <w:pPr>
        <w:widowControl/>
        <w:ind w:firstLine="600" w:firstLineChars="200"/>
        <w:jc w:val="left"/>
        <w:rPr>
          <w:rFonts w:ascii="仿宋_GB2312" w:eastAsia="仿宋_GB2312"/>
          <w:sz w:val="30"/>
          <w:szCs w:val="30"/>
        </w:rPr>
      </w:pPr>
      <w:r>
        <w:rPr>
          <w:rFonts w:hint="eastAsia" w:ascii="仿宋_GB2312" w:eastAsia="仿宋_GB2312"/>
          <w:sz w:val="30"/>
          <w:szCs w:val="30"/>
        </w:rPr>
        <w:t>（1）总体规划工作计费</w:t>
      </w:r>
    </w:p>
    <w:p w14:paraId="66D0E54F">
      <w:pPr>
        <w:widowControl/>
        <w:ind w:firstLine="600" w:firstLineChars="200"/>
        <w:jc w:val="left"/>
        <w:rPr>
          <w:rFonts w:ascii="仿宋_GB2312" w:eastAsia="仿宋_GB2312"/>
          <w:sz w:val="30"/>
          <w:szCs w:val="30"/>
        </w:rPr>
      </w:pPr>
      <w:r>
        <w:rPr>
          <w:rFonts w:hint="eastAsia" w:ascii="仿宋_GB2312" w:eastAsia="仿宋_GB2312"/>
          <w:sz w:val="30"/>
          <w:szCs w:val="30"/>
        </w:rPr>
        <w:t>参照《城市规划设计计费指导意见》（</w:t>
      </w:r>
      <w:r>
        <w:rPr>
          <w:rFonts w:ascii="仿宋_GB2312" w:eastAsia="仿宋_GB2312"/>
          <w:sz w:val="30"/>
          <w:szCs w:val="30"/>
        </w:rPr>
        <w:t>2017</w:t>
      </w:r>
      <w:r>
        <w:rPr>
          <w:rFonts w:hint="eastAsia" w:ascii="仿宋_GB2312" w:eastAsia="仿宋_GB2312"/>
          <w:sz w:val="30"/>
          <w:szCs w:val="30"/>
        </w:rPr>
        <w:t>修订版）第三部分第1条，总体规划计费标准如下：</w:t>
      </w:r>
    </w:p>
    <w:p w14:paraId="2723E800">
      <w:pPr>
        <w:widowControl/>
        <w:jc w:val="left"/>
        <w:rPr>
          <w:rFonts w:ascii="仿宋_GB2312" w:eastAsia="仿宋_GB2312"/>
          <w:sz w:val="30"/>
          <w:szCs w:val="30"/>
        </w:rPr>
      </w:pPr>
      <w:r>
        <w:drawing>
          <wp:inline distT="0" distB="0" distL="0" distR="0">
            <wp:extent cx="5274310" cy="218567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2185670"/>
                    </a:xfrm>
                    <a:prstGeom prst="rect">
                      <a:avLst/>
                    </a:prstGeom>
                  </pic:spPr>
                </pic:pic>
              </a:graphicData>
            </a:graphic>
          </wp:inline>
        </w:drawing>
      </w:r>
    </w:p>
    <w:p w14:paraId="32F5A357">
      <w:pPr>
        <w:widowControl/>
        <w:jc w:val="left"/>
        <w:rPr>
          <w:rFonts w:ascii="宋体" w:hAnsi="宋体" w:eastAsia="宋体" w:cs="宋体"/>
          <w:kern w:val="0"/>
          <w:sz w:val="24"/>
          <w:szCs w:val="24"/>
        </w:rPr>
      </w:pPr>
      <w:r>
        <w:rPr>
          <w:rFonts w:hint="eastAsia" w:ascii="楷体" w:hAnsi="楷体" w:eastAsia="楷体" w:cs="宋体"/>
          <w:color w:val="000000"/>
          <w:kern w:val="0"/>
          <w:sz w:val="24"/>
          <w:szCs w:val="24"/>
        </w:rPr>
        <w:t xml:space="preserve">1、本计费中的城市分类，按照《国务院关于调整城市规模划分标准的通知》 </w:t>
      </w:r>
    </w:p>
    <w:p w14:paraId="0E3DCA87">
      <w:pPr>
        <w:widowControl/>
        <w:jc w:val="left"/>
        <w:rPr>
          <w:rFonts w:ascii="宋体" w:hAnsi="宋体" w:eastAsia="宋体" w:cs="宋体"/>
          <w:kern w:val="0"/>
          <w:sz w:val="24"/>
          <w:szCs w:val="24"/>
        </w:rPr>
      </w:pPr>
      <w:r>
        <w:rPr>
          <w:rFonts w:hint="eastAsia" w:ascii="楷体" w:hAnsi="楷体" w:eastAsia="楷体" w:cs="宋体"/>
          <w:color w:val="000000"/>
          <w:kern w:val="0"/>
          <w:sz w:val="24"/>
          <w:szCs w:val="24"/>
        </w:rPr>
        <w:t xml:space="preserve">（国发〔2014〕51 号）所规定的超大城市、特大城市、大城市、 中等城市、小城市的标准区分，不含乡镇规划。 </w:t>
      </w:r>
    </w:p>
    <w:p w14:paraId="681D5E15">
      <w:pPr>
        <w:widowControl/>
        <w:jc w:val="left"/>
        <w:rPr>
          <w:rFonts w:ascii="楷体" w:hAnsi="楷体" w:eastAsia="楷体" w:cs="宋体"/>
          <w:color w:val="E7E6E6" w:themeColor="background2"/>
          <w:kern w:val="0"/>
          <w:sz w:val="24"/>
          <w:szCs w:val="24"/>
          <w14:textFill>
            <w14:solidFill>
              <w14:schemeClr w14:val="bg2"/>
            </w14:solidFill>
          </w14:textFill>
        </w:rPr>
      </w:pPr>
      <w:r>
        <w:rPr>
          <w:rFonts w:hint="eastAsia" w:ascii="楷体" w:hAnsi="楷体" w:eastAsia="楷体" w:cs="宋体"/>
          <w:color w:val="000000"/>
          <w:kern w:val="0"/>
          <w:sz w:val="24"/>
          <w:szCs w:val="24"/>
        </w:rPr>
        <w:t>2、表中人口规模以规划期末人口</w:t>
      </w:r>
      <w:r>
        <w:rPr>
          <w:rFonts w:hint="eastAsia" w:ascii="楷体" w:hAnsi="楷体" w:eastAsia="楷体" w:cs="宋体"/>
          <w:color w:val="000000"/>
          <w:kern w:val="0"/>
          <w:sz w:val="24"/>
          <w:szCs w:val="24"/>
          <w:lang w:val="en-US" w:eastAsia="zh-CN"/>
        </w:rPr>
        <w:t>为准，</w:t>
      </w:r>
      <w:r>
        <w:rPr>
          <w:rFonts w:hint="eastAsia" w:ascii="楷体" w:hAnsi="楷体" w:eastAsia="楷体" w:cs="宋体"/>
          <w:color w:val="000000"/>
          <w:kern w:val="0"/>
          <w:sz w:val="24"/>
          <w:szCs w:val="24"/>
        </w:rPr>
        <w:t xml:space="preserve">规模如有超出则需另外补充。 </w:t>
      </w:r>
    </w:p>
    <w:p w14:paraId="21813BCB">
      <w:pPr>
        <w:widowControl/>
        <w:jc w:val="left"/>
        <w:rPr>
          <w:rFonts w:ascii="宋体" w:hAnsi="宋体" w:eastAsia="宋体" w:cs="宋体"/>
          <w:kern w:val="0"/>
          <w:sz w:val="24"/>
          <w:szCs w:val="24"/>
        </w:rPr>
      </w:pPr>
      <w:r>
        <w:rPr>
          <w:rFonts w:hint="eastAsia" w:ascii="楷体" w:hAnsi="楷体" w:eastAsia="楷体" w:cs="宋体"/>
          <w:color w:val="000000"/>
          <w:kern w:val="0"/>
          <w:sz w:val="24"/>
          <w:szCs w:val="24"/>
        </w:rPr>
        <w:t xml:space="preserve">3、城市总体规划按人口规模分档，并按照规划建设用地计算规划费用。 </w:t>
      </w:r>
    </w:p>
    <w:p w14:paraId="4E1F7A11">
      <w:pPr>
        <w:widowControl/>
        <w:jc w:val="left"/>
        <w:rPr>
          <w:rFonts w:ascii="宋体" w:hAnsi="宋体" w:eastAsia="宋体" w:cs="宋体"/>
          <w:kern w:val="0"/>
          <w:sz w:val="24"/>
          <w:szCs w:val="24"/>
        </w:rPr>
      </w:pPr>
      <w:r>
        <w:rPr>
          <w:rFonts w:hint="eastAsia" w:ascii="楷体" w:hAnsi="楷体" w:eastAsia="楷体" w:cs="宋体"/>
          <w:color w:val="000000"/>
          <w:kern w:val="0"/>
          <w:sz w:val="24"/>
          <w:szCs w:val="24"/>
        </w:rPr>
        <w:t xml:space="preserve">4、本计费不含单独编制的城镇体系规划。 </w:t>
      </w:r>
    </w:p>
    <w:p w14:paraId="73C30116">
      <w:pPr>
        <w:widowControl/>
        <w:jc w:val="left"/>
        <w:rPr>
          <w:rFonts w:ascii="宋体" w:hAnsi="宋体" w:eastAsia="宋体" w:cs="宋体"/>
          <w:kern w:val="0"/>
          <w:sz w:val="24"/>
          <w:szCs w:val="24"/>
        </w:rPr>
      </w:pPr>
      <w:r>
        <w:rPr>
          <w:rFonts w:hint="eastAsia" w:ascii="楷体" w:hAnsi="楷体" w:eastAsia="楷体" w:cs="宋体"/>
          <w:color w:val="000000"/>
          <w:kern w:val="0"/>
          <w:sz w:val="24"/>
          <w:szCs w:val="24"/>
        </w:rPr>
        <w:t xml:space="preserve">5、单独编制城市总体规划纲要的，按总体规划设计费的 50%计费。 </w:t>
      </w:r>
    </w:p>
    <w:p w14:paraId="432E1314">
      <w:pPr>
        <w:widowControl/>
        <w:jc w:val="left"/>
        <w:rPr>
          <w:rFonts w:ascii="宋体" w:hAnsi="宋体" w:eastAsia="宋体" w:cs="宋体"/>
          <w:kern w:val="0"/>
          <w:sz w:val="24"/>
          <w:szCs w:val="24"/>
        </w:rPr>
      </w:pPr>
      <w:r>
        <w:rPr>
          <w:rFonts w:hint="eastAsia" w:ascii="楷体" w:hAnsi="楷体" w:eastAsia="楷体" w:cs="宋体"/>
          <w:color w:val="000000"/>
          <w:kern w:val="0"/>
          <w:sz w:val="24"/>
          <w:szCs w:val="24"/>
        </w:rPr>
        <w:t xml:space="preserve">6、城市总体规划计费基价为 50 万元。 </w:t>
      </w:r>
    </w:p>
    <w:p w14:paraId="3E8D5A87">
      <w:pPr>
        <w:widowControl/>
        <w:jc w:val="left"/>
        <w:rPr>
          <w:rFonts w:ascii="宋体" w:hAnsi="宋体" w:eastAsia="宋体" w:cs="宋体"/>
          <w:kern w:val="0"/>
          <w:sz w:val="24"/>
          <w:szCs w:val="24"/>
        </w:rPr>
      </w:pPr>
      <w:r>
        <w:rPr>
          <w:rFonts w:hint="eastAsia" w:ascii="楷体" w:hAnsi="楷体" w:eastAsia="楷体" w:cs="宋体"/>
          <w:color w:val="000000"/>
          <w:kern w:val="0"/>
          <w:sz w:val="24"/>
          <w:szCs w:val="24"/>
        </w:rPr>
        <w:t xml:space="preserve">7、在编制城市总体规划中，如需进行相关专题研究，应单独计费。计费为：超大城市 70 万元/每个，特大城市 50 万元/每个，大城市 35 万元/每个，中等城市 25 万元/每个，小城市 15 万元/每个；单独编制的专题研究应单独计费。 </w:t>
      </w:r>
    </w:p>
    <w:p w14:paraId="1E61F13E">
      <w:pPr>
        <w:widowControl/>
        <w:jc w:val="left"/>
        <w:rPr>
          <w:rFonts w:ascii="楷体" w:hAnsi="楷体" w:eastAsia="楷体" w:cs="宋体"/>
          <w:color w:val="000000"/>
          <w:kern w:val="0"/>
          <w:sz w:val="24"/>
          <w:szCs w:val="24"/>
        </w:rPr>
      </w:pPr>
      <w:r>
        <w:rPr>
          <w:rFonts w:hint="eastAsia" w:ascii="楷体" w:hAnsi="楷体" w:eastAsia="楷体" w:cs="宋体"/>
          <w:color w:val="000000"/>
          <w:kern w:val="0"/>
          <w:sz w:val="24"/>
          <w:szCs w:val="24"/>
        </w:rPr>
        <w:t xml:space="preserve">8、编制城市总体规划，各阶段工作量划分比例为：现状调研阶段（30%），初步成果阶段（20%），纲要成果阶段（40%），最终成果阶段（10%）。 </w:t>
      </w:r>
    </w:p>
    <w:p w14:paraId="7C391EE2">
      <w:pPr>
        <w:widowControl/>
        <w:jc w:val="left"/>
        <w:rPr>
          <w:rFonts w:ascii="楷体" w:hAnsi="楷体" w:eastAsia="楷体" w:cs="宋体"/>
          <w:color w:val="000000"/>
          <w:kern w:val="0"/>
          <w:sz w:val="24"/>
          <w:szCs w:val="24"/>
        </w:rPr>
      </w:pPr>
      <w:r>
        <w:rPr>
          <w:rFonts w:hint="eastAsia" w:ascii="楷体" w:hAnsi="楷体" w:eastAsia="楷体" w:cs="宋体"/>
          <w:color w:val="000000"/>
          <w:kern w:val="0"/>
          <w:sz w:val="24"/>
          <w:szCs w:val="24"/>
        </w:rPr>
        <w:t>9、总体规划调研和考察费用由双方商定，委托单位组织的，费用由委托单位承担；规划设计单位自行组织的，费用由规划设计单位自行解决。</w:t>
      </w:r>
    </w:p>
    <w:p w14:paraId="482FB0F6">
      <w:pPr>
        <w:widowControl/>
        <w:jc w:val="left"/>
        <w:rPr>
          <w:rFonts w:ascii="楷体" w:hAnsi="楷体" w:eastAsia="楷体" w:cs="宋体"/>
          <w:color w:val="000000"/>
          <w:kern w:val="0"/>
          <w:sz w:val="24"/>
          <w:szCs w:val="24"/>
        </w:rPr>
      </w:pPr>
      <w:r>
        <w:rPr>
          <w:rFonts w:hint="eastAsia" w:ascii="楷体" w:hAnsi="楷体" w:eastAsia="楷体" w:cs="宋体"/>
          <w:color w:val="000000"/>
          <w:kern w:val="0"/>
          <w:sz w:val="24"/>
          <w:szCs w:val="24"/>
        </w:rPr>
        <w:t>10、《总体规划实施评估</w:t>
      </w:r>
      <w:r>
        <w:rPr>
          <w:rFonts w:hint="eastAsia" w:ascii="楷体" w:hAnsi="楷体" w:eastAsia="楷体" w:cs="宋体"/>
          <w:color w:val="000000"/>
          <w:kern w:val="0"/>
          <w:sz w:val="24"/>
          <w:szCs w:val="24"/>
          <w:lang w:eastAsia="zh-CN"/>
        </w:rPr>
        <w:t>》《</w:t>
      </w:r>
      <w:r>
        <w:rPr>
          <w:rFonts w:hint="eastAsia" w:ascii="楷体" w:hAnsi="楷体" w:eastAsia="楷体" w:cs="宋体"/>
          <w:color w:val="000000"/>
          <w:kern w:val="0"/>
          <w:sz w:val="24"/>
          <w:szCs w:val="24"/>
        </w:rPr>
        <w:t>总体规划修编前期研究</w:t>
      </w:r>
      <w:r>
        <w:rPr>
          <w:rFonts w:hint="eastAsia" w:ascii="楷体" w:hAnsi="楷体" w:eastAsia="楷体" w:cs="宋体"/>
          <w:color w:val="000000"/>
          <w:kern w:val="0"/>
          <w:sz w:val="24"/>
          <w:szCs w:val="24"/>
          <w:lang w:eastAsia="zh-CN"/>
        </w:rPr>
        <w:t>》《</w:t>
      </w:r>
      <w:r>
        <w:rPr>
          <w:rFonts w:hint="eastAsia" w:ascii="楷体" w:hAnsi="楷体" w:eastAsia="楷体" w:cs="宋体"/>
          <w:color w:val="000000"/>
          <w:kern w:val="0"/>
          <w:sz w:val="24"/>
          <w:szCs w:val="24"/>
        </w:rPr>
        <w:t xml:space="preserve">战略规划》等按照 城市总体规划的 30%来计费。 </w:t>
      </w:r>
    </w:p>
    <w:p w14:paraId="36D23A7C">
      <w:pPr>
        <w:widowControl/>
        <w:jc w:val="left"/>
        <w:rPr>
          <w:rFonts w:ascii="楷体" w:hAnsi="楷体" w:eastAsia="楷体" w:cs="宋体"/>
          <w:color w:val="000000"/>
          <w:kern w:val="0"/>
          <w:sz w:val="24"/>
          <w:szCs w:val="24"/>
        </w:rPr>
      </w:pPr>
      <w:r>
        <w:rPr>
          <w:rFonts w:hint="eastAsia" w:ascii="楷体" w:hAnsi="楷体" w:eastAsia="楷体" w:cs="宋体"/>
          <w:color w:val="000000"/>
          <w:kern w:val="0"/>
          <w:sz w:val="24"/>
          <w:szCs w:val="24"/>
        </w:rPr>
        <w:t>11、在城市总体规划编制审批中，如需报国务院审批的，需增加难度系数1.3，如报省政府审批，则需增加难度系数 1.1。</w:t>
      </w:r>
    </w:p>
    <w:p w14:paraId="05F7B529">
      <w:pPr>
        <w:widowControl/>
        <w:ind w:firstLine="600" w:firstLineChars="200"/>
        <w:jc w:val="left"/>
        <w:rPr>
          <w:rFonts w:ascii="仿宋_GB2312" w:eastAsia="仿宋_GB2312"/>
          <w:sz w:val="30"/>
          <w:szCs w:val="30"/>
        </w:rPr>
      </w:pPr>
      <w:r>
        <w:rPr>
          <w:rFonts w:ascii="仿宋_GB2312" w:eastAsia="仿宋_GB2312"/>
          <w:sz w:val="30"/>
          <w:szCs w:val="30"/>
        </w:rPr>
        <w:t>蟠龙</w:t>
      </w:r>
      <w:r>
        <w:rPr>
          <w:rFonts w:hint="eastAsia" w:ascii="仿宋_GB2312" w:eastAsia="仿宋_GB2312"/>
          <w:sz w:val="30"/>
          <w:szCs w:val="30"/>
        </w:rPr>
        <w:t>高新经济技术</w:t>
      </w:r>
      <w:r>
        <w:rPr>
          <w:rFonts w:ascii="仿宋_GB2312" w:eastAsia="仿宋_GB2312"/>
          <w:sz w:val="30"/>
          <w:szCs w:val="30"/>
        </w:rPr>
        <w:t>开发区</w:t>
      </w:r>
      <w:r>
        <w:rPr>
          <w:rFonts w:hint="eastAsia" w:ascii="仿宋_GB2312" w:eastAsia="仿宋_GB2312"/>
          <w:sz w:val="30"/>
          <w:szCs w:val="30"/>
        </w:rPr>
        <w:t>属于</w:t>
      </w:r>
      <w:r>
        <w:rPr>
          <w:rFonts w:ascii="仿宋_GB2312" w:eastAsia="仿宋_GB2312"/>
          <w:sz w:val="30"/>
          <w:szCs w:val="30"/>
        </w:rPr>
        <w:t>宝鸡市</w:t>
      </w:r>
      <w:r>
        <w:rPr>
          <w:rFonts w:hint="eastAsia" w:ascii="仿宋_GB2312" w:eastAsia="仿宋_GB2312"/>
          <w:sz w:val="30"/>
          <w:szCs w:val="30"/>
        </w:rPr>
        <w:t>中心</w:t>
      </w:r>
      <w:r>
        <w:rPr>
          <w:rFonts w:ascii="仿宋_GB2312" w:eastAsia="仿宋_GB2312"/>
          <w:sz w:val="30"/>
          <w:szCs w:val="30"/>
        </w:rPr>
        <w:t>城区组成部分，</w:t>
      </w:r>
      <w:r>
        <w:rPr>
          <w:rFonts w:hint="eastAsia" w:ascii="仿宋_GB2312" w:eastAsia="仿宋_GB2312"/>
          <w:sz w:val="30"/>
          <w:szCs w:val="30"/>
        </w:rPr>
        <w:t>依据</w:t>
      </w:r>
      <w:r>
        <w:rPr>
          <w:rFonts w:ascii="仿宋_GB2312" w:eastAsia="仿宋_GB2312"/>
          <w:sz w:val="30"/>
          <w:szCs w:val="30"/>
        </w:rPr>
        <w:t>《</w:t>
      </w:r>
      <w:r>
        <w:rPr>
          <w:rFonts w:hint="eastAsia" w:ascii="仿宋_GB2312" w:eastAsia="仿宋_GB2312"/>
          <w:sz w:val="30"/>
          <w:szCs w:val="30"/>
        </w:rPr>
        <w:t>宝鸡市</w:t>
      </w:r>
      <w:r>
        <w:rPr>
          <w:rFonts w:ascii="仿宋_GB2312" w:eastAsia="仿宋_GB2312"/>
          <w:sz w:val="30"/>
          <w:szCs w:val="30"/>
        </w:rPr>
        <w:t>国土</w:t>
      </w:r>
      <w:r>
        <w:rPr>
          <w:rFonts w:hint="eastAsia" w:ascii="仿宋_GB2312" w:eastAsia="仿宋_GB2312"/>
          <w:sz w:val="30"/>
          <w:szCs w:val="30"/>
        </w:rPr>
        <w:t>空间</w:t>
      </w:r>
      <w:r>
        <w:rPr>
          <w:rFonts w:ascii="仿宋_GB2312" w:eastAsia="仿宋_GB2312"/>
          <w:sz w:val="30"/>
          <w:szCs w:val="30"/>
        </w:rPr>
        <w:t>总体规划（</w:t>
      </w:r>
      <w:r>
        <w:rPr>
          <w:rFonts w:hint="eastAsia" w:ascii="仿宋_GB2312" w:eastAsia="仿宋_GB2312"/>
          <w:sz w:val="30"/>
          <w:szCs w:val="30"/>
        </w:rPr>
        <w:t>2021</w:t>
      </w:r>
      <w:r>
        <w:rPr>
          <w:rFonts w:ascii="仿宋_GB2312" w:eastAsia="仿宋_GB2312"/>
          <w:sz w:val="30"/>
          <w:szCs w:val="30"/>
        </w:rPr>
        <w:t>-2035</w:t>
      </w:r>
      <w:r>
        <w:rPr>
          <w:rFonts w:hint="eastAsia" w:ascii="仿宋_GB2312" w:eastAsia="仿宋_GB2312"/>
          <w:sz w:val="30"/>
          <w:szCs w:val="30"/>
        </w:rPr>
        <w:t>年</w:t>
      </w:r>
      <w:r>
        <w:rPr>
          <w:rFonts w:ascii="仿宋_GB2312" w:eastAsia="仿宋_GB2312"/>
          <w:sz w:val="30"/>
          <w:szCs w:val="30"/>
        </w:rPr>
        <w:t>）》</w:t>
      </w:r>
      <w:r>
        <w:rPr>
          <w:rFonts w:hint="eastAsia" w:ascii="仿宋_GB2312" w:eastAsia="仿宋_GB2312"/>
          <w:sz w:val="30"/>
          <w:szCs w:val="30"/>
        </w:rPr>
        <w:t>，宝鸡</w:t>
      </w:r>
      <w:r>
        <w:rPr>
          <w:rFonts w:ascii="仿宋_GB2312" w:eastAsia="仿宋_GB2312"/>
          <w:sz w:val="30"/>
          <w:szCs w:val="30"/>
        </w:rPr>
        <w:t>市</w:t>
      </w:r>
      <w:r>
        <w:rPr>
          <w:rFonts w:hint="eastAsia" w:ascii="仿宋_GB2312" w:eastAsia="仿宋_GB2312"/>
          <w:sz w:val="30"/>
          <w:szCs w:val="30"/>
        </w:rPr>
        <w:t>中心</w:t>
      </w:r>
      <w:r>
        <w:rPr>
          <w:rFonts w:ascii="仿宋_GB2312" w:eastAsia="仿宋_GB2312"/>
          <w:sz w:val="30"/>
          <w:szCs w:val="30"/>
        </w:rPr>
        <w:t>城区人口</w:t>
      </w:r>
      <w:r>
        <w:rPr>
          <w:rFonts w:hint="eastAsia" w:ascii="仿宋_GB2312" w:eastAsia="仿宋_GB2312"/>
          <w:sz w:val="30"/>
          <w:szCs w:val="30"/>
        </w:rPr>
        <w:t>规模为1</w:t>
      </w:r>
      <w:r>
        <w:rPr>
          <w:rFonts w:ascii="仿宋_GB2312" w:eastAsia="仿宋_GB2312"/>
          <w:sz w:val="30"/>
          <w:szCs w:val="30"/>
        </w:rPr>
        <w:t>7</w:t>
      </w:r>
      <w:r>
        <w:rPr>
          <w:rFonts w:hint="eastAsia" w:ascii="仿宋_GB2312" w:eastAsia="仿宋_GB2312"/>
          <w:sz w:val="30"/>
          <w:szCs w:val="30"/>
        </w:rPr>
        <w:t>0万人</w:t>
      </w:r>
      <w:r>
        <w:rPr>
          <w:rFonts w:ascii="仿宋_GB2312" w:eastAsia="仿宋_GB2312"/>
          <w:sz w:val="30"/>
          <w:szCs w:val="30"/>
        </w:rPr>
        <w:t>，</w:t>
      </w:r>
      <w:r>
        <w:rPr>
          <w:rFonts w:hint="eastAsia" w:ascii="仿宋_GB2312" w:eastAsia="仿宋_GB2312"/>
          <w:sz w:val="30"/>
          <w:szCs w:val="30"/>
        </w:rPr>
        <w:t>属于</w:t>
      </w:r>
      <w:r>
        <w:rPr>
          <w:rFonts w:ascii="仿宋_GB2312" w:eastAsia="仿宋_GB2312"/>
          <w:sz w:val="30"/>
          <w:szCs w:val="30"/>
        </w:rPr>
        <w:t>大城市，计费单价应为5</w:t>
      </w:r>
      <w:r>
        <w:rPr>
          <w:rFonts w:hint="eastAsia" w:ascii="仿宋_GB2312" w:eastAsia="仿宋_GB2312"/>
          <w:sz w:val="30"/>
          <w:szCs w:val="30"/>
        </w:rPr>
        <w:t>万元/平方公里。</w:t>
      </w:r>
      <w:r>
        <w:rPr>
          <w:rFonts w:ascii="仿宋_GB2312" w:eastAsia="仿宋_GB2312"/>
          <w:sz w:val="30"/>
          <w:szCs w:val="30"/>
        </w:rPr>
        <w:t>本次</w:t>
      </w:r>
      <w:r>
        <w:rPr>
          <w:rFonts w:hint="eastAsia" w:ascii="仿宋_GB2312" w:eastAsia="仿宋_GB2312"/>
          <w:sz w:val="30"/>
          <w:szCs w:val="30"/>
        </w:rPr>
        <w:t>总规</w:t>
      </w:r>
      <w:r>
        <w:rPr>
          <w:rFonts w:ascii="仿宋_GB2312" w:eastAsia="仿宋_GB2312"/>
          <w:sz w:val="30"/>
          <w:szCs w:val="30"/>
        </w:rPr>
        <w:t>编制范围</w:t>
      </w:r>
      <w:r>
        <w:rPr>
          <w:rFonts w:hint="eastAsia" w:ascii="仿宋_GB2312" w:eastAsia="仿宋_GB2312"/>
          <w:sz w:val="30"/>
          <w:szCs w:val="30"/>
        </w:rPr>
        <w:t>面积5</w:t>
      </w:r>
      <w:r>
        <w:rPr>
          <w:rFonts w:ascii="仿宋_GB2312" w:eastAsia="仿宋_GB2312"/>
          <w:sz w:val="30"/>
          <w:szCs w:val="30"/>
        </w:rPr>
        <w:t>1.75平方公里，</w:t>
      </w:r>
      <w:r>
        <w:rPr>
          <w:rFonts w:hint="eastAsia" w:ascii="仿宋_GB2312" w:eastAsia="仿宋_GB2312"/>
          <w:sz w:val="30"/>
          <w:szCs w:val="30"/>
        </w:rPr>
        <w:t>人口</w:t>
      </w:r>
      <w:r>
        <w:rPr>
          <w:rFonts w:ascii="仿宋_GB2312" w:eastAsia="仿宋_GB2312"/>
          <w:sz w:val="30"/>
          <w:szCs w:val="30"/>
        </w:rPr>
        <w:t>规模预计约</w:t>
      </w:r>
      <w:r>
        <w:rPr>
          <w:rFonts w:hint="eastAsia" w:ascii="仿宋_GB2312" w:eastAsia="仿宋_GB2312"/>
          <w:sz w:val="30"/>
          <w:szCs w:val="30"/>
        </w:rPr>
        <w:t>20万人</w:t>
      </w:r>
      <w:r>
        <w:rPr>
          <w:rFonts w:ascii="仿宋_GB2312" w:eastAsia="仿宋_GB2312"/>
          <w:sz w:val="30"/>
          <w:szCs w:val="30"/>
        </w:rPr>
        <w:t>，则</w:t>
      </w:r>
      <w:r>
        <w:rPr>
          <w:rFonts w:hint="eastAsia" w:ascii="仿宋_GB2312" w:eastAsia="仿宋_GB2312"/>
          <w:sz w:val="30"/>
          <w:szCs w:val="30"/>
        </w:rPr>
        <w:t>总规</w:t>
      </w:r>
      <w:r>
        <w:rPr>
          <w:rFonts w:ascii="仿宋_GB2312" w:eastAsia="仿宋_GB2312"/>
          <w:sz w:val="30"/>
          <w:szCs w:val="30"/>
        </w:rPr>
        <w:t>编制费用为</w:t>
      </w:r>
      <w:r>
        <w:rPr>
          <w:rFonts w:hint="eastAsia" w:ascii="仿宋_GB2312" w:eastAsia="仿宋_GB2312"/>
          <w:sz w:val="30"/>
          <w:szCs w:val="30"/>
        </w:rPr>
        <w:t>5</w:t>
      </w:r>
      <w:r>
        <w:rPr>
          <w:rFonts w:ascii="仿宋_GB2312" w:eastAsia="仿宋_GB2312"/>
          <w:sz w:val="30"/>
          <w:szCs w:val="30"/>
        </w:rPr>
        <w:t>1.75平方公里*5万元</w:t>
      </w:r>
      <w:r>
        <w:rPr>
          <w:rFonts w:hint="eastAsia" w:ascii="仿宋_GB2312" w:eastAsia="仿宋_GB2312"/>
          <w:sz w:val="30"/>
          <w:szCs w:val="30"/>
        </w:rPr>
        <w:t>/平方公里=</w:t>
      </w:r>
      <w:r>
        <w:rPr>
          <w:rFonts w:ascii="仿宋_GB2312" w:eastAsia="仿宋_GB2312"/>
          <w:sz w:val="30"/>
          <w:szCs w:val="30"/>
        </w:rPr>
        <w:t>258.75万元。</w:t>
      </w:r>
    </w:p>
    <w:p w14:paraId="27F277FB">
      <w:pPr>
        <w:widowControl/>
        <w:ind w:firstLine="600" w:firstLineChars="200"/>
        <w:jc w:val="left"/>
        <w:rPr>
          <w:rFonts w:ascii="仿宋_GB2312" w:eastAsia="仿宋_GB2312"/>
          <w:sz w:val="30"/>
          <w:szCs w:val="30"/>
        </w:rPr>
      </w:pPr>
      <w:r>
        <w:rPr>
          <w:rFonts w:hint="eastAsia" w:ascii="仿宋_GB2312" w:eastAsia="仿宋_GB2312"/>
          <w:sz w:val="30"/>
          <w:szCs w:val="30"/>
        </w:rPr>
        <w:t>（2）控制性详细规划编制计费</w:t>
      </w:r>
    </w:p>
    <w:p w14:paraId="47F9FC70">
      <w:pPr>
        <w:widowControl/>
        <w:ind w:firstLine="600" w:firstLineChars="200"/>
        <w:jc w:val="left"/>
        <w:rPr>
          <w:rFonts w:ascii="仿宋_GB2312" w:eastAsia="仿宋_GB2312"/>
          <w:sz w:val="30"/>
          <w:szCs w:val="30"/>
        </w:rPr>
      </w:pPr>
      <w:r>
        <w:rPr>
          <w:rFonts w:hint="eastAsia" w:ascii="仿宋_GB2312" w:eastAsia="仿宋_GB2312"/>
          <w:sz w:val="30"/>
          <w:szCs w:val="30"/>
        </w:rPr>
        <w:t>本次控制性详细规划分单元（街区）层面和地块层面进行编制，参照《城市规划设计计费指导意见》（</w:t>
      </w:r>
      <w:r>
        <w:rPr>
          <w:rFonts w:ascii="仿宋_GB2312" w:eastAsia="仿宋_GB2312"/>
          <w:sz w:val="30"/>
          <w:szCs w:val="30"/>
        </w:rPr>
        <w:t>2017</w:t>
      </w:r>
      <w:r>
        <w:rPr>
          <w:rFonts w:hint="eastAsia" w:ascii="仿宋_GB2312" w:eastAsia="仿宋_GB2312"/>
          <w:sz w:val="30"/>
          <w:szCs w:val="30"/>
        </w:rPr>
        <w:t>修订版）第三部分第3条，计费标准如下：</w:t>
      </w:r>
    </w:p>
    <w:p w14:paraId="6B2E7D34">
      <w:pPr>
        <w:widowControl/>
        <w:jc w:val="left"/>
        <w:rPr>
          <w:rFonts w:ascii="仿宋_GB2312" w:eastAsia="仿宋_GB2312"/>
          <w:sz w:val="30"/>
          <w:szCs w:val="30"/>
        </w:rPr>
      </w:pPr>
      <w:r>
        <w:drawing>
          <wp:inline distT="0" distB="0" distL="0" distR="0">
            <wp:extent cx="5274310" cy="185801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4310" cy="1858010"/>
                    </a:xfrm>
                    <a:prstGeom prst="rect">
                      <a:avLst/>
                    </a:prstGeom>
                  </pic:spPr>
                </pic:pic>
              </a:graphicData>
            </a:graphic>
          </wp:inline>
        </w:drawing>
      </w:r>
    </w:p>
    <w:p w14:paraId="582C04AF">
      <w:pPr>
        <w:widowControl/>
        <w:jc w:val="left"/>
        <w:rPr>
          <w:rFonts w:ascii="宋体" w:hAnsi="宋体" w:eastAsia="宋体" w:cs="宋体"/>
          <w:kern w:val="0"/>
          <w:sz w:val="24"/>
          <w:szCs w:val="24"/>
        </w:rPr>
      </w:pPr>
      <w:r>
        <w:rPr>
          <w:rFonts w:hint="eastAsia" w:ascii="楷体" w:hAnsi="楷体" w:eastAsia="楷体" w:cs="宋体"/>
          <w:color w:val="000000"/>
          <w:kern w:val="0"/>
          <w:sz w:val="24"/>
          <w:szCs w:val="24"/>
        </w:rPr>
        <w:t xml:space="preserve">注： </w:t>
      </w:r>
    </w:p>
    <w:p w14:paraId="62D29516">
      <w:pPr>
        <w:widowControl/>
        <w:jc w:val="left"/>
        <w:rPr>
          <w:rFonts w:ascii="宋体" w:hAnsi="宋体" w:eastAsia="宋体" w:cs="宋体"/>
          <w:kern w:val="0"/>
          <w:sz w:val="24"/>
          <w:szCs w:val="24"/>
        </w:rPr>
      </w:pPr>
      <w:r>
        <w:rPr>
          <w:rFonts w:hint="eastAsia" w:ascii="楷体" w:hAnsi="楷体" w:eastAsia="楷体" w:cs="宋体"/>
          <w:color w:val="000000"/>
          <w:kern w:val="0"/>
          <w:sz w:val="24"/>
          <w:szCs w:val="24"/>
        </w:rPr>
        <w:t xml:space="preserve">1、编制单元（街区）层面控制性详细规划按 55%计费，编制地块层面控制性详细规划按 45%计费。 </w:t>
      </w:r>
    </w:p>
    <w:p w14:paraId="7A8C88C2">
      <w:pPr>
        <w:widowControl/>
        <w:jc w:val="left"/>
        <w:rPr>
          <w:rFonts w:ascii="宋体" w:hAnsi="宋体" w:eastAsia="宋体" w:cs="宋体"/>
          <w:kern w:val="0"/>
          <w:sz w:val="24"/>
          <w:szCs w:val="24"/>
        </w:rPr>
      </w:pPr>
      <w:r>
        <w:rPr>
          <w:rFonts w:hint="eastAsia" w:ascii="楷体" w:hAnsi="楷体" w:eastAsia="楷体" w:cs="宋体"/>
          <w:color w:val="000000"/>
          <w:kern w:val="0"/>
          <w:sz w:val="24"/>
          <w:szCs w:val="24"/>
        </w:rPr>
        <w:t xml:space="preserve">2、表中计费单价不含分图则。如增加分图则，计费单价分别增加 500 元/公 </w:t>
      </w:r>
    </w:p>
    <w:p w14:paraId="434EF4F8">
      <w:pPr>
        <w:widowControl/>
        <w:jc w:val="left"/>
        <w:rPr>
          <w:rFonts w:ascii="宋体" w:hAnsi="宋体" w:eastAsia="宋体" w:cs="宋体"/>
          <w:kern w:val="0"/>
          <w:sz w:val="24"/>
          <w:szCs w:val="24"/>
        </w:rPr>
      </w:pPr>
      <w:r>
        <w:rPr>
          <w:rFonts w:hint="eastAsia" w:ascii="楷体" w:hAnsi="楷体" w:eastAsia="楷体" w:cs="宋体"/>
          <w:color w:val="000000"/>
          <w:kern w:val="0"/>
          <w:sz w:val="24"/>
          <w:szCs w:val="24"/>
        </w:rPr>
        <w:t xml:space="preserve">顷。 </w:t>
      </w:r>
    </w:p>
    <w:p w14:paraId="7AE4C2C9">
      <w:pPr>
        <w:widowControl/>
        <w:jc w:val="left"/>
        <w:rPr>
          <w:rFonts w:ascii="宋体" w:hAnsi="宋体" w:eastAsia="宋体" w:cs="宋体"/>
          <w:kern w:val="0"/>
          <w:sz w:val="24"/>
          <w:szCs w:val="24"/>
        </w:rPr>
      </w:pPr>
      <w:r>
        <w:rPr>
          <w:rFonts w:hint="eastAsia" w:ascii="楷体" w:hAnsi="楷体" w:eastAsia="楷体" w:cs="宋体"/>
          <w:color w:val="000000"/>
          <w:kern w:val="0"/>
          <w:sz w:val="24"/>
          <w:szCs w:val="24"/>
        </w:rPr>
        <w:t xml:space="preserve">3、如果增加建筑形体方案示意，则计费单价分别增加 2000 元/公顷。 </w:t>
      </w:r>
    </w:p>
    <w:p w14:paraId="5F2C3EE3">
      <w:pPr>
        <w:widowControl/>
        <w:jc w:val="left"/>
        <w:rPr>
          <w:rFonts w:ascii="宋体" w:hAnsi="宋体" w:eastAsia="宋体" w:cs="宋体"/>
          <w:kern w:val="0"/>
          <w:sz w:val="24"/>
          <w:szCs w:val="24"/>
        </w:rPr>
      </w:pPr>
      <w:r>
        <w:rPr>
          <w:rFonts w:hint="eastAsia" w:ascii="楷体" w:hAnsi="楷体" w:eastAsia="楷体" w:cs="宋体"/>
          <w:color w:val="000000"/>
          <w:kern w:val="0"/>
          <w:sz w:val="24"/>
          <w:szCs w:val="24"/>
        </w:rPr>
        <w:t xml:space="preserve">4、编制两个层面控制性详细规划计费基价为 35 万元。 </w:t>
      </w:r>
    </w:p>
    <w:p w14:paraId="2D4B9A16">
      <w:pPr>
        <w:widowControl/>
        <w:jc w:val="left"/>
        <w:rPr>
          <w:rFonts w:ascii="宋体" w:hAnsi="宋体" w:eastAsia="宋体" w:cs="宋体"/>
          <w:kern w:val="0"/>
          <w:sz w:val="24"/>
          <w:szCs w:val="24"/>
        </w:rPr>
      </w:pPr>
      <w:r>
        <w:rPr>
          <w:rFonts w:hint="eastAsia" w:ascii="楷体" w:hAnsi="楷体" w:eastAsia="楷体" w:cs="宋体"/>
          <w:color w:val="000000"/>
          <w:kern w:val="0"/>
          <w:sz w:val="24"/>
          <w:szCs w:val="24"/>
        </w:rPr>
        <w:t xml:space="preserve">5、编制控制性详细规划，各阶段工作量划分比例： 1) 建成区：现状调研阶段 30%，方案阶段 40%，成果制作阶段 30%；若增加分图则，现状调研阶段 30%，方案阶段 35%，成果制作阶段 35%； </w:t>
      </w:r>
    </w:p>
    <w:p w14:paraId="4C7A573C">
      <w:pPr>
        <w:widowControl/>
        <w:jc w:val="left"/>
        <w:rPr>
          <w:rFonts w:ascii="宋体" w:hAnsi="宋体" w:eastAsia="宋体" w:cs="宋体"/>
          <w:kern w:val="0"/>
          <w:sz w:val="24"/>
          <w:szCs w:val="24"/>
        </w:rPr>
      </w:pPr>
      <w:r>
        <w:rPr>
          <w:rFonts w:hint="eastAsia" w:ascii="楷体" w:hAnsi="楷体" w:eastAsia="楷体" w:cs="宋体"/>
          <w:color w:val="000000"/>
          <w:kern w:val="0"/>
          <w:sz w:val="24"/>
          <w:szCs w:val="24"/>
        </w:rPr>
        <w:t xml:space="preserve">2）新区：现状调研阶段 15%，方案阶段 55%，成果制作 30%；若增加分图则， </w:t>
      </w:r>
    </w:p>
    <w:p w14:paraId="4A021C21">
      <w:pPr>
        <w:widowControl/>
        <w:jc w:val="left"/>
        <w:rPr>
          <w:rFonts w:ascii="宋体" w:hAnsi="宋体" w:eastAsia="宋体" w:cs="宋体"/>
          <w:kern w:val="0"/>
          <w:sz w:val="24"/>
          <w:szCs w:val="24"/>
        </w:rPr>
      </w:pPr>
      <w:r>
        <w:rPr>
          <w:rFonts w:hint="eastAsia" w:ascii="楷体" w:hAnsi="楷体" w:eastAsia="楷体" w:cs="宋体"/>
          <w:color w:val="000000"/>
          <w:kern w:val="0"/>
          <w:sz w:val="24"/>
          <w:szCs w:val="24"/>
        </w:rPr>
        <w:t xml:space="preserve">工作量划分比例为：现状调研阶段 15%，方案阶段 45%，成果制作阶段 40%。 </w:t>
      </w:r>
    </w:p>
    <w:p w14:paraId="45717556">
      <w:pPr>
        <w:widowControl/>
        <w:jc w:val="left"/>
        <w:rPr>
          <w:rFonts w:ascii="楷体" w:hAnsi="楷体" w:eastAsia="楷体" w:cs="宋体"/>
          <w:color w:val="000000"/>
          <w:kern w:val="0"/>
          <w:sz w:val="24"/>
          <w:szCs w:val="24"/>
        </w:rPr>
      </w:pPr>
      <w:r>
        <w:rPr>
          <w:rFonts w:hint="eastAsia" w:ascii="楷体" w:hAnsi="楷体" w:eastAsia="楷体" w:cs="宋体"/>
          <w:color w:val="000000"/>
          <w:kern w:val="0"/>
          <w:sz w:val="24"/>
          <w:szCs w:val="24"/>
        </w:rPr>
        <w:t>6、对控制性详细规划进行评估按总计费的 30%计取。</w:t>
      </w:r>
    </w:p>
    <w:p w14:paraId="66EEB0B8">
      <w:pPr>
        <w:widowControl/>
        <w:ind w:firstLine="600" w:firstLineChars="200"/>
        <w:jc w:val="left"/>
        <w:rPr>
          <w:rFonts w:ascii="仿宋_GB2312" w:eastAsia="仿宋_GB2312"/>
          <w:sz w:val="30"/>
          <w:szCs w:val="30"/>
        </w:rPr>
      </w:pPr>
      <w:r>
        <w:rPr>
          <w:rFonts w:hint="eastAsia" w:ascii="仿宋_GB2312" w:eastAsia="仿宋_GB2312"/>
          <w:sz w:val="30"/>
          <w:szCs w:val="30"/>
        </w:rPr>
        <w:t>蟠龙新区属于城市新区，计费单价应为</w:t>
      </w:r>
      <w:r>
        <w:rPr>
          <w:rFonts w:ascii="仿宋_GB2312" w:eastAsia="仿宋_GB2312"/>
          <w:sz w:val="30"/>
          <w:szCs w:val="30"/>
        </w:rPr>
        <w:t>3500</w:t>
      </w:r>
      <w:r>
        <w:rPr>
          <w:rFonts w:hint="eastAsia" w:ascii="仿宋_GB2312" w:eastAsia="仿宋_GB2312"/>
          <w:sz w:val="30"/>
          <w:szCs w:val="30"/>
        </w:rPr>
        <w:t>元</w:t>
      </w:r>
      <w:r>
        <w:rPr>
          <w:rFonts w:ascii="仿宋_GB2312" w:eastAsia="仿宋_GB2312"/>
          <w:sz w:val="30"/>
          <w:szCs w:val="30"/>
        </w:rPr>
        <w:t>/</w:t>
      </w:r>
      <w:r>
        <w:rPr>
          <w:rFonts w:hint="eastAsia" w:ascii="仿宋_GB2312" w:eastAsia="仿宋_GB2312"/>
          <w:sz w:val="30"/>
          <w:szCs w:val="30"/>
        </w:rPr>
        <w:t>公顷，本次控规编制范围面积43.75 平方公里，其中建设</w:t>
      </w:r>
      <w:r>
        <w:rPr>
          <w:rFonts w:ascii="仿宋_GB2312" w:eastAsia="仿宋_GB2312"/>
          <w:sz w:val="30"/>
          <w:szCs w:val="30"/>
        </w:rPr>
        <w:t>用地</w:t>
      </w:r>
      <w:r>
        <w:rPr>
          <w:rFonts w:hint="eastAsia" w:ascii="仿宋_GB2312" w:eastAsia="仿宋_GB2312"/>
          <w:sz w:val="30"/>
          <w:szCs w:val="30"/>
        </w:rPr>
        <w:t>（包括</w:t>
      </w:r>
      <w:r>
        <w:rPr>
          <w:rFonts w:ascii="仿宋_GB2312" w:eastAsia="仿宋_GB2312"/>
          <w:sz w:val="30"/>
          <w:szCs w:val="30"/>
        </w:rPr>
        <w:t>开发边界、弹性发展区及其他建设用地</w:t>
      </w:r>
      <w:r>
        <w:rPr>
          <w:rFonts w:hint="eastAsia" w:ascii="仿宋_GB2312" w:eastAsia="仿宋_GB2312"/>
          <w:sz w:val="30"/>
          <w:szCs w:val="30"/>
        </w:rPr>
        <w:t>）</w:t>
      </w:r>
      <w:r>
        <w:rPr>
          <w:rFonts w:ascii="仿宋_GB2312" w:eastAsia="仿宋_GB2312"/>
          <w:sz w:val="30"/>
          <w:szCs w:val="30"/>
        </w:rPr>
        <w:t>总面积为30.99</w:t>
      </w:r>
      <w:r>
        <w:rPr>
          <w:rFonts w:hint="eastAsia" w:ascii="仿宋_GB2312" w:eastAsia="仿宋_GB2312"/>
          <w:sz w:val="30"/>
          <w:szCs w:val="30"/>
        </w:rPr>
        <w:t>平方公里</w:t>
      </w:r>
      <w:r>
        <w:rPr>
          <w:rFonts w:ascii="仿宋_GB2312" w:eastAsia="仿宋_GB2312"/>
          <w:sz w:val="30"/>
          <w:szCs w:val="30"/>
        </w:rPr>
        <w:t>，</w:t>
      </w:r>
      <w:r>
        <w:rPr>
          <w:rFonts w:hint="eastAsia" w:ascii="仿宋_GB2312" w:eastAsia="仿宋_GB2312"/>
          <w:sz w:val="30"/>
          <w:szCs w:val="30"/>
        </w:rPr>
        <w:t>则控规</w:t>
      </w:r>
      <w:r>
        <w:rPr>
          <w:rFonts w:ascii="仿宋_GB2312" w:eastAsia="仿宋_GB2312"/>
          <w:sz w:val="30"/>
          <w:szCs w:val="30"/>
        </w:rPr>
        <w:t>编制费用为30.99</w:t>
      </w:r>
      <w:r>
        <w:rPr>
          <w:rFonts w:hint="eastAsia" w:ascii="仿宋_GB2312" w:eastAsia="仿宋_GB2312"/>
          <w:sz w:val="30"/>
          <w:szCs w:val="30"/>
        </w:rPr>
        <w:t>公顷</w:t>
      </w:r>
      <w:r>
        <w:rPr>
          <w:rFonts w:ascii="仿宋_GB2312" w:eastAsia="仿宋_GB2312"/>
          <w:sz w:val="30"/>
          <w:szCs w:val="30"/>
        </w:rPr>
        <w:t>*0.35万元</w:t>
      </w:r>
      <w:r>
        <w:rPr>
          <w:rFonts w:hint="eastAsia" w:ascii="仿宋_GB2312" w:eastAsia="仿宋_GB2312"/>
          <w:sz w:val="30"/>
          <w:szCs w:val="30"/>
        </w:rPr>
        <w:t>/公顷=</w:t>
      </w:r>
      <w:r>
        <w:rPr>
          <w:rFonts w:ascii="仿宋_GB2312" w:eastAsia="仿宋_GB2312"/>
          <w:sz w:val="30"/>
          <w:szCs w:val="30"/>
        </w:rPr>
        <w:t>1084.65万元。</w:t>
      </w:r>
    </w:p>
    <w:p w14:paraId="2FDCC14E">
      <w:pPr>
        <w:widowControl/>
        <w:ind w:firstLine="600" w:firstLineChars="200"/>
        <w:jc w:val="left"/>
        <w:rPr>
          <w:rFonts w:ascii="仿宋_GB2312" w:eastAsia="仿宋_GB2312"/>
          <w:sz w:val="30"/>
          <w:szCs w:val="30"/>
        </w:rPr>
      </w:pPr>
      <w:r>
        <w:rPr>
          <w:rFonts w:hint="eastAsia" w:ascii="仿宋_GB2312" w:eastAsia="仿宋_GB2312"/>
          <w:sz w:val="30"/>
          <w:szCs w:val="30"/>
        </w:rPr>
        <w:t>（3）费用总计</w:t>
      </w:r>
    </w:p>
    <w:p w14:paraId="5BDD3D2C">
      <w:pPr>
        <w:widowControl/>
        <w:ind w:firstLine="600" w:firstLineChars="200"/>
        <w:jc w:val="left"/>
        <w:rPr>
          <w:rFonts w:ascii="仿宋_GB2312" w:eastAsia="仿宋_GB2312"/>
          <w:sz w:val="30"/>
          <w:szCs w:val="30"/>
        </w:rPr>
      </w:pPr>
      <w:r>
        <w:rPr>
          <w:rFonts w:ascii="仿宋_GB2312" w:eastAsia="仿宋_GB2312"/>
          <w:sz w:val="30"/>
          <w:szCs w:val="30"/>
        </w:rPr>
        <w:t>综上所述，</w:t>
      </w:r>
      <w:r>
        <w:rPr>
          <w:rFonts w:hint="eastAsia" w:ascii="仿宋_GB2312" w:eastAsia="仿宋_GB2312"/>
          <w:sz w:val="30"/>
          <w:szCs w:val="30"/>
        </w:rPr>
        <w:t>蟠龙高新技术产业开发区总体规划和蟠龙新区控制性详细规划编制费用共计</w:t>
      </w:r>
      <w:r>
        <w:rPr>
          <w:rFonts w:ascii="仿宋_GB2312" w:eastAsia="仿宋_GB2312"/>
          <w:sz w:val="30"/>
          <w:szCs w:val="30"/>
        </w:rPr>
        <w:t>258.75万元</w:t>
      </w:r>
      <w:r>
        <w:rPr>
          <w:rFonts w:hint="eastAsia" w:ascii="仿宋_GB2312" w:eastAsia="仿宋_GB2312"/>
          <w:sz w:val="30"/>
          <w:szCs w:val="30"/>
        </w:rPr>
        <w:t>+</w:t>
      </w:r>
      <w:r>
        <w:rPr>
          <w:rFonts w:ascii="仿宋_GB2312" w:eastAsia="仿宋_GB2312"/>
          <w:sz w:val="30"/>
          <w:szCs w:val="30"/>
        </w:rPr>
        <w:t>1084.65万元</w:t>
      </w:r>
      <w:r>
        <w:rPr>
          <w:rFonts w:hint="eastAsia" w:ascii="仿宋_GB2312" w:eastAsia="仿宋_GB2312"/>
          <w:sz w:val="30"/>
          <w:szCs w:val="30"/>
        </w:rPr>
        <w:t>=</w:t>
      </w:r>
      <w:r>
        <w:rPr>
          <w:rFonts w:ascii="仿宋_GB2312" w:eastAsia="仿宋_GB2312"/>
          <w:sz w:val="30"/>
          <w:szCs w:val="30"/>
        </w:rPr>
        <w:t>1343.4万元。</w:t>
      </w:r>
    </w:p>
    <w:p w14:paraId="45DDDF35">
      <w:pPr>
        <w:widowControl/>
        <w:ind w:firstLine="600" w:firstLineChars="200"/>
        <w:jc w:val="left"/>
        <w:rPr>
          <w:rFonts w:hint="eastAsia" w:ascii="仿宋_GB2312" w:eastAsia="仿宋_GB2312"/>
          <w:b/>
          <w:sz w:val="30"/>
          <w:szCs w:val="30"/>
          <w:u w:val="single"/>
        </w:rPr>
      </w:pPr>
      <w:r>
        <w:rPr>
          <w:rFonts w:hint="eastAsia" w:ascii="仿宋_GB2312" w:eastAsia="仿宋_GB2312"/>
          <w:sz w:val="30"/>
          <w:szCs w:val="30"/>
        </w:rPr>
        <w:t>本次设计费按照总价的三折计取并取整，</w:t>
      </w:r>
      <w:r>
        <w:rPr>
          <w:rFonts w:hint="eastAsia" w:ascii="仿宋_GB2312" w:eastAsia="仿宋_GB2312"/>
          <w:b/>
          <w:sz w:val="30"/>
          <w:szCs w:val="30"/>
          <w:u w:val="single"/>
        </w:rPr>
        <w:t>则本次规划最终报价为1</w:t>
      </w:r>
      <w:r>
        <w:rPr>
          <w:rFonts w:ascii="仿宋_GB2312" w:eastAsia="仿宋_GB2312"/>
          <w:b/>
          <w:sz w:val="30"/>
          <w:szCs w:val="30"/>
          <w:u w:val="single"/>
        </w:rPr>
        <w:t>343.4*0.3=400</w:t>
      </w:r>
      <w:r>
        <w:rPr>
          <w:rFonts w:hint="eastAsia" w:ascii="仿宋_GB2312" w:eastAsia="仿宋_GB2312"/>
          <w:b/>
          <w:sz w:val="30"/>
          <w:szCs w:val="30"/>
          <w:u w:val="single"/>
        </w:rPr>
        <w:t>万元。</w:t>
      </w:r>
    </w:p>
    <w:p w14:paraId="5D3137BD">
      <w:pPr>
        <w:widowControl/>
        <w:jc w:val="left"/>
        <w:rPr>
          <w:rFonts w:ascii="仿宋_GB2312" w:eastAsia="仿宋_GB2312"/>
          <w:sz w:val="30"/>
          <w:szCs w:val="30"/>
        </w:rPr>
      </w:pPr>
    </w:p>
    <w:p w14:paraId="336CF281">
      <w:pPr>
        <w:pStyle w:val="6"/>
        <w:jc w:val="both"/>
        <w:rPr>
          <w:rFonts w:hint="default" w:eastAsia="宋体"/>
          <w:lang w:val="en-US" w:eastAsia="zh-CN"/>
        </w:rPr>
      </w:pPr>
    </w:p>
    <w:p w14:paraId="52C6EC75">
      <w:pPr>
        <w:pStyle w:val="6"/>
        <w:jc w:val="both"/>
        <w:rPr>
          <w:rFonts w:hint="default" w:eastAsia="宋体"/>
          <w:lang w:val="en-US" w:eastAsia="zh-CN"/>
        </w:rPr>
      </w:pPr>
    </w:p>
    <w:p w14:paraId="1C73BA58">
      <w:pPr>
        <w:pStyle w:val="6"/>
        <w:jc w:val="both"/>
        <w:rPr>
          <w:rFonts w:hint="default" w:eastAsia="宋体"/>
          <w:lang w:val="en-US" w:eastAsia="zh-CN"/>
        </w:rPr>
      </w:pPr>
    </w:p>
    <w:p w14:paraId="07846859">
      <w:pPr>
        <w:pStyle w:val="6"/>
        <w:jc w:val="both"/>
        <w:rPr>
          <w:rFonts w:hint="default" w:eastAsia="宋体"/>
          <w:lang w:val="en-US" w:eastAsia="zh-CN"/>
        </w:rPr>
      </w:pPr>
    </w:p>
    <w:p w14:paraId="6CB0B4C4">
      <w:pPr>
        <w:pStyle w:val="6"/>
        <w:jc w:val="both"/>
        <w:rPr>
          <w:rFonts w:hint="default" w:eastAsia="宋体"/>
          <w:lang w:val="en-US" w:eastAsia="zh-CN"/>
        </w:rPr>
      </w:pPr>
    </w:p>
    <w:p w14:paraId="39341760">
      <w:pPr>
        <w:pStyle w:val="6"/>
        <w:jc w:val="both"/>
        <w:rPr>
          <w:rFonts w:hint="default" w:eastAsia="宋体"/>
          <w:lang w:val="en-US" w:eastAsia="zh-CN"/>
        </w:rPr>
      </w:pPr>
    </w:p>
    <w:sectPr>
      <w:pgSz w:w="11906" w:h="16838"/>
      <w:pgMar w:top="1440" w:right="1587" w:bottom="590" w:left="1701" w:header="851" w:footer="992" w:gutter="0"/>
      <w:pgBorders>
        <w:top w:val="none" w:sz="0" w:space="0"/>
        <w:left w:val="none" w:sz="0" w:space="0"/>
        <w:bottom w:val="none" w:sz="0" w:space="0"/>
        <w:right w:val="none" w:sz="0" w:space="0"/>
      </w:pgBorders>
      <w:pgNumType w:fmt="decimal"/>
      <w:cols w:space="0" w:num="1"/>
      <w:titlePg/>
      <w:rtlGutter w:val="0"/>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C2B3DC3-85D2-4C15-9B66-084C5516BA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embedRegular r:id="rId2" w:fontKey="{E9C9F6BA-6A3F-409D-A97F-BEE277680E7C}"/>
  </w:font>
  <w:font w:name="Copperplate Gothic Bold">
    <w:altName w:val="Segoe Print"/>
    <w:panose1 w:val="020E0705020206020404"/>
    <w:charset w:val="00"/>
    <w:family w:val="swiss"/>
    <w:pitch w:val="default"/>
    <w:sig w:usb0="00000000" w:usb1="00000000" w:usb2="00000000" w:usb3="00000000" w:csb0="20000001" w:csb1="00000000"/>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auto"/>
    <w:pitch w:val="default"/>
    <w:sig w:usb0="A00002BF" w:usb1="184F6CFA" w:usb2="00000012" w:usb3="00000000" w:csb0="00040001" w:csb1="00000000"/>
    <w:embedRegular r:id="rId3" w:fontKey="{BF33341F-3E3F-48D5-8112-2157F7A411C8}"/>
  </w:font>
  <w:font w:name="仿宋">
    <w:panose1 w:val="02010609060101010101"/>
    <w:charset w:val="86"/>
    <w:family w:val="modern"/>
    <w:pitch w:val="default"/>
    <w:sig w:usb0="800002BF" w:usb1="38CF7CFA" w:usb2="00000016" w:usb3="00000000" w:csb0="00040001" w:csb1="00000000"/>
    <w:embedRegular r:id="rId4" w:fontKey="{1F6D0CA2-A0F2-4816-B15A-D11BE8D81E97}"/>
  </w:font>
  <w:font w:name="仿宋_GB2312">
    <w:panose1 w:val="02010609030101010101"/>
    <w:charset w:val="86"/>
    <w:family w:val="auto"/>
    <w:pitch w:val="default"/>
    <w:sig w:usb0="00000001" w:usb1="080E0000" w:usb2="00000000" w:usb3="00000000" w:csb0="00040000" w:csb1="00000000"/>
    <w:embedRegular r:id="rId5" w:fontKey="{32352A2F-9F52-4BCE-BB92-C699E7A9A81B}"/>
  </w:font>
  <w:font w:name="楷体">
    <w:panose1 w:val="02010609060101010101"/>
    <w:charset w:val="86"/>
    <w:family w:val="auto"/>
    <w:pitch w:val="default"/>
    <w:sig w:usb0="800002BF" w:usb1="38CF7CFA" w:usb2="00000016" w:usb3="00000000" w:csb0="00040001" w:csb1="00000000"/>
    <w:embedRegular r:id="rId6" w:fontKey="{A4A21A18-D0A2-48A0-A4BA-7652A2CD7E69}"/>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23ECA">
    <w:pPr>
      <w:pStyle w:val="5"/>
      <w:pBdr>
        <w:top w:val="single" w:color="auto" w:sz="4" w:space="0"/>
      </w:pBdr>
      <w:spacing w:after="0" w:line="300" w:lineRule="exact"/>
      <w:rPr>
        <w:lang w:eastAsia="zh-CN"/>
      </w:rPr>
    </w:pPr>
    <w:r>
      <w:rPr>
        <w:rFonts w:hint="eastAsia" w:eastAsia="宋体"/>
        <w:sz w:val="18"/>
        <w:szCs w:val="18"/>
        <w:lang w:eastAsia="zh-CN"/>
      </w:rPr>
      <w:t xml:space="preserve">陕西大可工程咨询监理有限公司    </w:t>
    </w:r>
    <w:r>
      <w:rPr>
        <w:rFonts w:hint="eastAsia"/>
        <w:sz w:val="18"/>
        <w:szCs w:val="18"/>
        <w:lang w:eastAsia="zh-CN"/>
      </w:rPr>
      <w:t>宝鸡市金台大道17号科技大厦D区525室 （0917）3800266</w:t>
    </w:r>
  </w:p>
  <w:p w14:paraId="4E01ED88">
    <w:pPr>
      <w:pStyle w:val="5"/>
      <w:spacing w:line="14" w:lineRule="auto"/>
      <w:rPr>
        <w:sz w:val="20"/>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73ED8">
    <w:pPr>
      <w:pStyle w:val="5"/>
      <w:tabs>
        <w:tab w:val="left" w:pos="414"/>
      </w:tabs>
      <w:spacing w:after="0" w:line="300" w:lineRule="exact"/>
      <w:rPr>
        <w:rFonts w:eastAsia="宋体"/>
        <w:sz w:val="18"/>
        <w:szCs w:val="18"/>
        <w:lang w:eastAsia="zh-CN"/>
      </w:rPr>
    </w:pPr>
  </w:p>
  <w:p w14:paraId="27DDEAFC">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1B7A2">
    <w:pPr>
      <w:pStyle w:val="5"/>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E83CE8">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CE83CE8">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13932">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7EFB93">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37EFB93">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4A639">
    <w:pPr>
      <w:pStyle w:val="10"/>
      <w:rPr>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hhMDdiYjU5Nzk0ZDQwYjc1MDQxODZjOWQzYjVkNTEifQ=="/>
    <w:docVar w:name="KSO_WPS_MARK_KEY" w:val="23b692c4-27d3-4d49-84ef-b90cb986b49b"/>
  </w:docVars>
  <w:rsids>
    <w:rsidRoot w:val="6645509E"/>
    <w:rsid w:val="0000208E"/>
    <w:rsid w:val="00002B62"/>
    <w:rsid w:val="00005F5E"/>
    <w:rsid w:val="0001636E"/>
    <w:rsid w:val="00021FD9"/>
    <w:rsid w:val="00035C46"/>
    <w:rsid w:val="0004469E"/>
    <w:rsid w:val="00054CEB"/>
    <w:rsid w:val="000658C5"/>
    <w:rsid w:val="0007077B"/>
    <w:rsid w:val="00071759"/>
    <w:rsid w:val="000826B4"/>
    <w:rsid w:val="00087871"/>
    <w:rsid w:val="000928C0"/>
    <w:rsid w:val="000937A6"/>
    <w:rsid w:val="000B00A9"/>
    <w:rsid w:val="000C052C"/>
    <w:rsid w:val="000C6F11"/>
    <w:rsid w:val="000E23FF"/>
    <w:rsid w:val="000F1E03"/>
    <w:rsid w:val="001133FB"/>
    <w:rsid w:val="00122D50"/>
    <w:rsid w:val="0012683A"/>
    <w:rsid w:val="001323F5"/>
    <w:rsid w:val="00134E01"/>
    <w:rsid w:val="001543A3"/>
    <w:rsid w:val="0017087D"/>
    <w:rsid w:val="00174DA7"/>
    <w:rsid w:val="00175148"/>
    <w:rsid w:val="00176A01"/>
    <w:rsid w:val="00183107"/>
    <w:rsid w:val="00196771"/>
    <w:rsid w:val="001B0618"/>
    <w:rsid w:val="001C619F"/>
    <w:rsid w:val="001E3AB9"/>
    <w:rsid w:val="001E7321"/>
    <w:rsid w:val="001F08E0"/>
    <w:rsid w:val="001F4668"/>
    <w:rsid w:val="001F57AD"/>
    <w:rsid w:val="002042CF"/>
    <w:rsid w:val="002059D1"/>
    <w:rsid w:val="0021154D"/>
    <w:rsid w:val="00214BA8"/>
    <w:rsid w:val="00225F93"/>
    <w:rsid w:val="0022673E"/>
    <w:rsid w:val="00240A49"/>
    <w:rsid w:val="00242F5F"/>
    <w:rsid w:val="00253100"/>
    <w:rsid w:val="002536C9"/>
    <w:rsid w:val="00263620"/>
    <w:rsid w:val="0026700E"/>
    <w:rsid w:val="0027087F"/>
    <w:rsid w:val="0027387F"/>
    <w:rsid w:val="00284E45"/>
    <w:rsid w:val="00294230"/>
    <w:rsid w:val="0029561B"/>
    <w:rsid w:val="00297310"/>
    <w:rsid w:val="002A07A8"/>
    <w:rsid w:val="002A60A0"/>
    <w:rsid w:val="002B63C2"/>
    <w:rsid w:val="002C12B4"/>
    <w:rsid w:val="002D2EBB"/>
    <w:rsid w:val="002E3040"/>
    <w:rsid w:val="002F10D9"/>
    <w:rsid w:val="002F1937"/>
    <w:rsid w:val="003027A1"/>
    <w:rsid w:val="00307CEA"/>
    <w:rsid w:val="0031038B"/>
    <w:rsid w:val="003126EF"/>
    <w:rsid w:val="00315679"/>
    <w:rsid w:val="003339C0"/>
    <w:rsid w:val="00333C3B"/>
    <w:rsid w:val="0033416D"/>
    <w:rsid w:val="003525F2"/>
    <w:rsid w:val="003540D7"/>
    <w:rsid w:val="00362867"/>
    <w:rsid w:val="00364B45"/>
    <w:rsid w:val="00376ED1"/>
    <w:rsid w:val="00376EF2"/>
    <w:rsid w:val="00382143"/>
    <w:rsid w:val="003B3CB4"/>
    <w:rsid w:val="003B497F"/>
    <w:rsid w:val="003B67A9"/>
    <w:rsid w:val="003D3733"/>
    <w:rsid w:val="003D57D4"/>
    <w:rsid w:val="003D5A01"/>
    <w:rsid w:val="003E485B"/>
    <w:rsid w:val="003F5BA7"/>
    <w:rsid w:val="003F7057"/>
    <w:rsid w:val="00403960"/>
    <w:rsid w:val="00414464"/>
    <w:rsid w:val="004300FB"/>
    <w:rsid w:val="00432CC0"/>
    <w:rsid w:val="0043437F"/>
    <w:rsid w:val="0043483C"/>
    <w:rsid w:val="0044318F"/>
    <w:rsid w:val="0045355E"/>
    <w:rsid w:val="00461443"/>
    <w:rsid w:val="0046220C"/>
    <w:rsid w:val="004700A1"/>
    <w:rsid w:val="004743B9"/>
    <w:rsid w:val="00482CED"/>
    <w:rsid w:val="004968A2"/>
    <w:rsid w:val="004A50FF"/>
    <w:rsid w:val="004C3E93"/>
    <w:rsid w:val="004E03E0"/>
    <w:rsid w:val="004F1784"/>
    <w:rsid w:val="004F1A35"/>
    <w:rsid w:val="00524E19"/>
    <w:rsid w:val="0052543E"/>
    <w:rsid w:val="00541902"/>
    <w:rsid w:val="00553200"/>
    <w:rsid w:val="005600ED"/>
    <w:rsid w:val="00597583"/>
    <w:rsid w:val="005A0E14"/>
    <w:rsid w:val="005D5560"/>
    <w:rsid w:val="005E7917"/>
    <w:rsid w:val="005F258E"/>
    <w:rsid w:val="005F561F"/>
    <w:rsid w:val="00610A42"/>
    <w:rsid w:val="00611D0C"/>
    <w:rsid w:val="00614832"/>
    <w:rsid w:val="0063512C"/>
    <w:rsid w:val="006377AE"/>
    <w:rsid w:val="00642634"/>
    <w:rsid w:val="00655486"/>
    <w:rsid w:val="006634CE"/>
    <w:rsid w:val="0066622E"/>
    <w:rsid w:val="00674176"/>
    <w:rsid w:val="00682BCE"/>
    <w:rsid w:val="00693014"/>
    <w:rsid w:val="006A1FAC"/>
    <w:rsid w:val="006A4795"/>
    <w:rsid w:val="006B27AF"/>
    <w:rsid w:val="006B78F4"/>
    <w:rsid w:val="006D7BA7"/>
    <w:rsid w:val="006E1424"/>
    <w:rsid w:val="006F32E3"/>
    <w:rsid w:val="00710E86"/>
    <w:rsid w:val="007120A1"/>
    <w:rsid w:val="00717838"/>
    <w:rsid w:val="00723D94"/>
    <w:rsid w:val="007257C8"/>
    <w:rsid w:val="00727AF5"/>
    <w:rsid w:val="007305AD"/>
    <w:rsid w:val="007407FA"/>
    <w:rsid w:val="00742AC8"/>
    <w:rsid w:val="007613B7"/>
    <w:rsid w:val="0076320A"/>
    <w:rsid w:val="00775B65"/>
    <w:rsid w:val="00791A6C"/>
    <w:rsid w:val="00793742"/>
    <w:rsid w:val="007B3029"/>
    <w:rsid w:val="007D0E0E"/>
    <w:rsid w:val="007D1FD2"/>
    <w:rsid w:val="007F224F"/>
    <w:rsid w:val="0080160B"/>
    <w:rsid w:val="00804330"/>
    <w:rsid w:val="008113C8"/>
    <w:rsid w:val="00816BCA"/>
    <w:rsid w:val="00823948"/>
    <w:rsid w:val="008267B3"/>
    <w:rsid w:val="00844F50"/>
    <w:rsid w:val="00845A13"/>
    <w:rsid w:val="00854E06"/>
    <w:rsid w:val="00860020"/>
    <w:rsid w:val="00870EC5"/>
    <w:rsid w:val="00872345"/>
    <w:rsid w:val="00885339"/>
    <w:rsid w:val="00890DC3"/>
    <w:rsid w:val="008A4006"/>
    <w:rsid w:val="008A710D"/>
    <w:rsid w:val="008C676E"/>
    <w:rsid w:val="008D117D"/>
    <w:rsid w:val="008E2611"/>
    <w:rsid w:val="00910D5D"/>
    <w:rsid w:val="009305CA"/>
    <w:rsid w:val="0093067E"/>
    <w:rsid w:val="00941A6C"/>
    <w:rsid w:val="00953FA8"/>
    <w:rsid w:val="00955BF0"/>
    <w:rsid w:val="009727A8"/>
    <w:rsid w:val="009735F6"/>
    <w:rsid w:val="009804C8"/>
    <w:rsid w:val="00990C04"/>
    <w:rsid w:val="00994681"/>
    <w:rsid w:val="009C5D0B"/>
    <w:rsid w:val="009C66DC"/>
    <w:rsid w:val="009D2455"/>
    <w:rsid w:val="009E738C"/>
    <w:rsid w:val="009F35F0"/>
    <w:rsid w:val="009F44A9"/>
    <w:rsid w:val="009F488A"/>
    <w:rsid w:val="009F6091"/>
    <w:rsid w:val="00A20609"/>
    <w:rsid w:val="00A4338E"/>
    <w:rsid w:val="00A50902"/>
    <w:rsid w:val="00A631F8"/>
    <w:rsid w:val="00A76ED4"/>
    <w:rsid w:val="00A872B5"/>
    <w:rsid w:val="00AB002A"/>
    <w:rsid w:val="00AB7E96"/>
    <w:rsid w:val="00AC485C"/>
    <w:rsid w:val="00AE75CD"/>
    <w:rsid w:val="00B12BB8"/>
    <w:rsid w:val="00B15E3A"/>
    <w:rsid w:val="00B2415A"/>
    <w:rsid w:val="00B90B67"/>
    <w:rsid w:val="00B954C3"/>
    <w:rsid w:val="00BA1A84"/>
    <w:rsid w:val="00BA21C5"/>
    <w:rsid w:val="00BA5D38"/>
    <w:rsid w:val="00BB1288"/>
    <w:rsid w:val="00BB31B7"/>
    <w:rsid w:val="00BB4100"/>
    <w:rsid w:val="00BB5668"/>
    <w:rsid w:val="00BB569F"/>
    <w:rsid w:val="00BC1DAA"/>
    <w:rsid w:val="00BF22B4"/>
    <w:rsid w:val="00BF450D"/>
    <w:rsid w:val="00C07B8F"/>
    <w:rsid w:val="00C1716E"/>
    <w:rsid w:val="00C2100D"/>
    <w:rsid w:val="00C2137F"/>
    <w:rsid w:val="00C22EAB"/>
    <w:rsid w:val="00C51627"/>
    <w:rsid w:val="00C51874"/>
    <w:rsid w:val="00C55F15"/>
    <w:rsid w:val="00C645AF"/>
    <w:rsid w:val="00C71D5F"/>
    <w:rsid w:val="00CA69F2"/>
    <w:rsid w:val="00CB1796"/>
    <w:rsid w:val="00CB5A4F"/>
    <w:rsid w:val="00CD2FA0"/>
    <w:rsid w:val="00CD3BFD"/>
    <w:rsid w:val="00CE3654"/>
    <w:rsid w:val="00D04A64"/>
    <w:rsid w:val="00D06A40"/>
    <w:rsid w:val="00D11A71"/>
    <w:rsid w:val="00D15C42"/>
    <w:rsid w:val="00D21CA1"/>
    <w:rsid w:val="00D36310"/>
    <w:rsid w:val="00D401BE"/>
    <w:rsid w:val="00D548AC"/>
    <w:rsid w:val="00D70B58"/>
    <w:rsid w:val="00D735AC"/>
    <w:rsid w:val="00D77CC4"/>
    <w:rsid w:val="00D82EB4"/>
    <w:rsid w:val="00D84E1C"/>
    <w:rsid w:val="00D93CCB"/>
    <w:rsid w:val="00DA3418"/>
    <w:rsid w:val="00DA584E"/>
    <w:rsid w:val="00DB4977"/>
    <w:rsid w:val="00DC5650"/>
    <w:rsid w:val="00DD7897"/>
    <w:rsid w:val="00DD7A75"/>
    <w:rsid w:val="00E1315C"/>
    <w:rsid w:val="00E34AF3"/>
    <w:rsid w:val="00E37207"/>
    <w:rsid w:val="00E47221"/>
    <w:rsid w:val="00E667BC"/>
    <w:rsid w:val="00E72CF7"/>
    <w:rsid w:val="00E771B7"/>
    <w:rsid w:val="00E81063"/>
    <w:rsid w:val="00EA13AD"/>
    <w:rsid w:val="00EA51C9"/>
    <w:rsid w:val="00EB1F7D"/>
    <w:rsid w:val="00ED706D"/>
    <w:rsid w:val="00ED7E16"/>
    <w:rsid w:val="00F0218A"/>
    <w:rsid w:val="00F1077F"/>
    <w:rsid w:val="00F123F1"/>
    <w:rsid w:val="00F1639A"/>
    <w:rsid w:val="00F171C6"/>
    <w:rsid w:val="00F2025A"/>
    <w:rsid w:val="00F42B94"/>
    <w:rsid w:val="00F518C5"/>
    <w:rsid w:val="00F624CF"/>
    <w:rsid w:val="00F62B6F"/>
    <w:rsid w:val="00F65D83"/>
    <w:rsid w:val="00F714C6"/>
    <w:rsid w:val="00FA5BA0"/>
    <w:rsid w:val="00FA6887"/>
    <w:rsid w:val="00FC72D2"/>
    <w:rsid w:val="00FD09F9"/>
    <w:rsid w:val="00FD3E08"/>
    <w:rsid w:val="01122732"/>
    <w:rsid w:val="01225DEB"/>
    <w:rsid w:val="01AE5B42"/>
    <w:rsid w:val="01BF7557"/>
    <w:rsid w:val="02AB4AF3"/>
    <w:rsid w:val="03B21C17"/>
    <w:rsid w:val="03C045FF"/>
    <w:rsid w:val="03EF0788"/>
    <w:rsid w:val="049C16D0"/>
    <w:rsid w:val="063E4862"/>
    <w:rsid w:val="066C43A4"/>
    <w:rsid w:val="06B57480"/>
    <w:rsid w:val="06CB4FA1"/>
    <w:rsid w:val="06EF5B40"/>
    <w:rsid w:val="06FC0EB1"/>
    <w:rsid w:val="070D70B2"/>
    <w:rsid w:val="072840F7"/>
    <w:rsid w:val="07994871"/>
    <w:rsid w:val="07B31D9B"/>
    <w:rsid w:val="08142768"/>
    <w:rsid w:val="0870264D"/>
    <w:rsid w:val="08E553FE"/>
    <w:rsid w:val="09447811"/>
    <w:rsid w:val="09AD2157"/>
    <w:rsid w:val="09DE5529"/>
    <w:rsid w:val="0A0565CD"/>
    <w:rsid w:val="0A1C78C4"/>
    <w:rsid w:val="0A5D17D6"/>
    <w:rsid w:val="0A9E18F7"/>
    <w:rsid w:val="0ABF4545"/>
    <w:rsid w:val="0AE66743"/>
    <w:rsid w:val="0B5B43B1"/>
    <w:rsid w:val="0B61777F"/>
    <w:rsid w:val="0BE85AE0"/>
    <w:rsid w:val="0BFC1173"/>
    <w:rsid w:val="0C126BE9"/>
    <w:rsid w:val="0C3A18A8"/>
    <w:rsid w:val="0C474AE5"/>
    <w:rsid w:val="0C6224B2"/>
    <w:rsid w:val="0C7E0DB3"/>
    <w:rsid w:val="0CB913FE"/>
    <w:rsid w:val="0CD55F66"/>
    <w:rsid w:val="0CF167FE"/>
    <w:rsid w:val="0D2826D1"/>
    <w:rsid w:val="0D657EC6"/>
    <w:rsid w:val="0DEC4B60"/>
    <w:rsid w:val="0EC9598A"/>
    <w:rsid w:val="0F0D7236"/>
    <w:rsid w:val="0F4A0448"/>
    <w:rsid w:val="0F5B2B0A"/>
    <w:rsid w:val="0F932BEF"/>
    <w:rsid w:val="0FD55B57"/>
    <w:rsid w:val="0FDF3813"/>
    <w:rsid w:val="10201039"/>
    <w:rsid w:val="10761B58"/>
    <w:rsid w:val="107E2F32"/>
    <w:rsid w:val="108468D7"/>
    <w:rsid w:val="10BF6529"/>
    <w:rsid w:val="110619AF"/>
    <w:rsid w:val="118350E3"/>
    <w:rsid w:val="11BC6404"/>
    <w:rsid w:val="12591604"/>
    <w:rsid w:val="12FA666E"/>
    <w:rsid w:val="12FC6BB7"/>
    <w:rsid w:val="1335200F"/>
    <w:rsid w:val="13B34270"/>
    <w:rsid w:val="13B831B3"/>
    <w:rsid w:val="13D00E30"/>
    <w:rsid w:val="14000A93"/>
    <w:rsid w:val="14371C31"/>
    <w:rsid w:val="146B2EFC"/>
    <w:rsid w:val="149A2B23"/>
    <w:rsid w:val="14B64C1A"/>
    <w:rsid w:val="14B6571F"/>
    <w:rsid w:val="14D53FEB"/>
    <w:rsid w:val="15554580"/>
    <w:rsid w:val="156D4E90"/>
    <w:rsid w:val="161F514A"/>
    <w:rsid w:val="168F5A8D"/>
    <w:rsid w:val="16A24286"/>
    <w:rsid w:val="16AA2483"/>
    <w:rsid w:val="16DB01EC"/>
    <w:rsid w:val="172632F3"/>
    <w:rsid w:val="1733304D"/>
    <w:rsid w:val="174C130F"/>
    <w:rsid w:val="175663DB"/>
    <w:rsid w:val="17571B8E"/>
    <w:rsid w:val="17A179A8"/>
    <w:rsid w:val="17AF1790"/>
    <w:rsid w:val="18326F76"/>
    <w:rsid w:val="188058CC"/>
    <w:rsid w:val="18861A9A"/>
    <w:rsid w:val="18A9771F"/>
    <w:rsid w:val="18B9644D"/>
    <w:rsid w:val="18C611D7"/>
    <w:rsid w:val="18DA0E19"/>
    <w:rsid w:val="18E02205"/>
    <w:rsid w:val="18F27610"/>
    <w:rsid w:val="1990114D"/>
    <w:rsid w:val="19AA4ABB"/>
    <w:rsid w:val="19DD3E8E"/>
    <w:rsid w:val="19E3596A"/>
    <w:rsid w:val="1A3F5784"/>
    <w:rsid w:val="1A4A051E"/>
    <w:rsid w:val="1A91736B"/>
    <w:rsid w:val="1B040045"/>
    <w:rsid w:val="1B477BCA"/>
    <w:rsid w:val="1B5C6255"/>
    <w:rsid w:val="1BB22CBC"/>
    <w:rsid w:val="1BD840FD"/>
    <w:rsid w:val="1C3470A1"/>
    <w:rsid w:val="1C4043C3"/>
    <w:rsid w:val="1CBE4D78"/>
    <w:rsid w:val="1D6B6DAA"/>
    <w:rsid w:val="1D943902"/>
    <w:rsid w:val="1D9A753A"/>
    <w:rsid w:val="1E343387"/>
    <w:rsid w:val="1E410F8E"/>
    <w:rsid w:val="1E473FA8"/>
    <w:rsid w:val="1E776455"/>
    <w:rsid w:val="1E931ADB"/>
    <w:rsid w:val="1EB7772F"/>
    <w:rsid w:val="1EEE21BB"/>
    <w:rsid w:val="1EF62D6C"/>
    <w:rsid w:val="1EFE30F7"/>
    <w:rsid w:val="1F2A5167"/>
    <w:rsid w:val="1FB05C8C"/>
    <w:rsid w:val="2013663B"/>
    <w:rsid w:val="2042342A"/>
    <w:rsid w:val="20E1080D"/>
    <w:rsid w:val="213715BB"/>
    <w:rsid w:val="214A1445"/>
    <w:rsid w:val="2228568A"/>
    <w:rsid w:val="22521696"/>
    <w:rsid w:val="22C303E3"/>
    <w:rsid w:val="22EE5038"/>
    <w:rsid w:val="244E6762"/>
    <w:rsid w:val="24AC380A"/>
    <w:rsid w:val="25373035"/>
    <w:rsid w:val="254F13E5"/>
    <w:rsid w:val="256F26F6"/>
    <w:rsid w:val="26103D41"/>
    <w:rsid w:val="26323CB8"/>
    <w:rsid w:val="26B75BDF"/>
    <w:rsid w:val="2712569E"/>
    <w:rsid w:val="27F85597"/>
    <w:rsid w:val="28031511"/>
    <w:rsid w:val="28094184"/>
    <w:rsid w:val="28410B73"/>
    <w:rsid w:val="288051AE"/>
    <w:rsid w:val="2895514B"/>
    <w:rsid w:val="28D73A86"/>
    <w:rsid w:val="29114373"/>
    <w:rsid w:val="291236C5"/>
    <w:rsid w:val="29251F7E"/>
    <w:rsid w:val="299E408D"/>
    <w:rsid w:val="29E17D1B"/>
    <w:rsid w:val="2A612DBE"/>
    <w:rsid w:val="2A616BBA"/>
    <w:rsid w:val="2A9B3493"/>
    <w:rsid w:val="2ACC7D9A"/>
    <w:rsid w:val="2AEF43BC"/>
    <w:rsid w:val="2AF55A9D"/>
    <w:rsid w:val="2B2C33CC"/>
    <w:rsid w:val="2B504E91"/>
    <w:rsid w:val="2B625AC8"/>
    <w:rsid w:val="2B8C5B0B"/>
    <w:rsid w:val="2BBE1CF7"/>
    <w:rsid w:val="2BE55328"/>
    <w:rsid w:val="2C022B7F"/>
    <w:rsid w:val="2C213665"/>
    <w:rsid w:val="2C730209"/>
    <w:rsid w:val="2C7D5359"/>
    <w:rsid w:val="2C917721"/>
    <w:rsid w:val="2CB261FF"/>
    <w:rsid w:val="2CC12D3B"/>
    <w:rsid w:val="2CFC3D9C"/>
    <w:rsid w:val="2D542766"/>
    <w:rsid w:val="2DA336ED"/>
    <w:rsid w:val="2E272205"/>
    <w:rsid w:val="2E4C7D62"/>
    <w:rsid w:val="2E71016E"/>
    <w:rsid w:val="2E934807"/>
    <w:rsid w:val="2EA22696"/>
    <w:rsid w:val="2EC54B07"/>
    <w:rsid w:val="2F3114C7"/>
    <w:rsid w:val="2F544C9F"/>
    <w:rsid w:val="2F590B46"/>
    <w:rsid w:val="2F7240C6"/>
    <w:rsid w:val="2F802B54"/>
    <w:rsid w:val="2F846D38"/>
    <w:rsid w:val="2FA8163A"/>
    <w:rsid w:val="2FDD6878"/>
    <w:rsid w:val="3015718E"/>
    <w:rsid w:val="30193096"/>
    <w:rsid w:val="309D32CA"/>
    <w:rsid w:val="31583508"/>
    <w:rsid w:val="31761F43"/>
    <w:rsid w:val="31D93579"/>
    <w:rsid w:val="321070A5"/>
    <w:rsid w:val="323628B7"/>
    <w:rsid w:val="32637EFE"/>
    <w:rsid w:val="33114C55"/>
    <w:rsid w:val="333515BA"/>
    <w:rsid w:val="33ED0318"/>
    <w:rsid w:val="34093DE1"/>
    <w:rsid w:val="352937C2"/>
    <w:rsid w:val="35787143"/>
    <w:rsid w:val="357C1550"/>
    <w:rsid w:val="359A0CC8"/>
    <w:rsid w:val="35A76061"/>
    <w:rsid w:val="36587B1F"/>
    <w:rsid w:val="3660767F"/>
    <w:rsid w:val="367629DA"/>
    <w:rsid w:val="36870BC3"/>
    <w:rsid w:val="368B234A"/>
    <w:rsid w:val="36A514F3"/>
    <w:rsid w:val="37284322"/>
    <w:rsid w:val="374E076F"/>
    <w:rsid w:val="378D3E8C"/>
    <w:rsid w:val="37C07FAF"/>
    <w:rsid w:val="37C91057"/>
    <w:rsid w:val="37CB5D1A"/>
    <w:rsid w:val="383B2D1A"/>
    <w:rsid w:val="38B67672"/>
    <w:rsid w:val="38EB12B6"/>
    <w:rsid w:val="39076E41"/>
    <w:rsid w:val="396D1098"/>
    <w:rsid w:val="39C95C4D"/>
    <w:rsid w:val="39D76DE9"/>
    <w:rsid w:val="39F13AE5"/>
    <w:rsid w:val="3A045426"/>
    <w:rsid w:val="3B877A71"/>
    <w:rsid w:val="3BAE145D"/>
    <w:rsid w:val="3BBF5B96"/>
    <w:rsid w:val="3C0734BE"/>
    <w:rsid w:val="3C7B6A2F"/>
    <w:rsid w:val="3C87472E"/>
    <w:rsid w:val="3CB279B3"/>
    <w:rsid w:val="3CF40E83"/>
    <w:rsid w:val="3D4863A8"/>
    <w:rsid w:val="3DD97E8E"/>
    <w:rsid w:val="3E0F2B79"/>
    <w:rsid w:val="3E9A0A67"/>
    <w:rsid w:val="3F2A5CFD"/>
    <w:rsid w:val="40651804"/>
    <w:rsid w:val="40D0598E"/>
    <w:rsid w:val="410826AC"/>
    <w:rsid w:val="415D788A"/>
    <w:rsid w:val="42313585"/>
    <w:rsid w:val="42AE0712"/>
    <w:rsid w:val="42BF5CB2"/>
    <w:rsid w:val="42C336B7"/>
    <w:rsid w:val="441A7E92"/>
    <w:rsid w:val="44543FF1"/>
    <w:rsid w:val="449D6681"/>
    <w:rsid w:val="44C11E70"/>
    <w:rsid w:val="44D258C7"/>
    <w:rsid w:val="44D3622B"/>
    <w:rsid w:val="457725F9"/>
    <w:rsid w:val="457F3F49"/>
    <w:rsid w:val="46681261"/>
    <w:rsid w:val="467164C2"/>
    <w:rsid w:val="468B2DCA"/>
    <w:rsid w:val="469E183A"/>
    <w:rsid w:val="46B8390E"/>
    <w:rsid w:val="47AD47B6"/>
    <w:rsid w:val="47B70069"/>
    <w:rsid w:val="47B7408E"/>
    <w:rsid w:val="482C45B3"/>
    <w:rsid w:val="48985879"/>
    <w:rsid w:val="48F24890"/>
    <w:rsid w:val="48FD5D41"/>
    <w:rsid w:val="49CA4F9E"/>
    <w:rsid w:val="49CD1AD5"/>
    <w:rsid w:val="49E60D6E"/>
    <w:rsid w:val="4B0912B7"/>
    <w:rsid w:val="4B14664A"/>
    <w:rsid w:val="4B3B3F0B"/>
    <w:rsid w:val="4B744D88"/>
    <w:rsid w:val="4BB42331"/>
    <w:rsid w:val="4BEB79CE"/>
    <w:rsid w:val="4C325D27"/>
    <w:rsid w:val="4C8D39A8"/>
    <w:rsid w:val="4C910E59"/>
    <w:rsid w:val="4CCA103A"/>
    <w:rsid w:val="4CE03830"/>
    <w:rsid w:val="4CFA433F"/>
    <w:rsid w:val="4CFB6302"/>
    <w:rsid w:val="4D1C6748"/>
    <w:rsid w:val="4D663F7B"/>
    <w:rsid w:val="4D9412FB"/>
    <w:rsid w:val="4DED57CC"/>
    <w:rsid w:val="4DFA08BC"/>
    <w:rsid w:val="4E866836"/>
    <w:rsid w:val="4F2C3050"/>
    <w:rsid w:val="4F3B2EF4"/>
    <w:rsid w:val="4F872B30"/>
    <w:rsid w:val="4FFB0314"/>
    <w:rsid w:val="504A0C12"/>
    <w:rsid w:val="50C91058"/>
    <w:rsid w:val="513003E9"/>
    <w:rsid w:val="5145208A"/>
    <w:rsid w:val="51870AB3"/>
    <w:rsid w:val="51893D9D"/>
    <w:rsid w:val="52185642"/>
    <w:rsid w:val="521A2D43"/>
    <w:rsid w:val="523E5E1E"/>
    <w:rsid w:val="52550248"/>
    <w:rsid w:val="527B0D1E"/>
    <w:rsid w:val="52C519B4"/>
    <w:rsid w:val="539F22E5"/>
    <w:rsid w:val="53D009AF"/>
    <w:rsid w:val="542E2934"/>
    <w:rsid w:val="54332F77"/>
    <w:rsid w:val="54B60D9E"/>
    <w:rsid w:val="54C0766E"/>
    <w:rsid w:val="54D9594B"/>
    <w:rsid w:val="54DA6DCC"/>
    <w:rsid w:val="55E85D07"/>
    <w:rsid w:val="56052875"/>
    <w:rsid w:val="56740BE4"/>
    <w:rsid w:val="570E5EDC"/>
    <w:rsid w:val="57284198"/>
    <w:rsid w:val="57382241"/>
    <w:rsid w:val="579A4A82"/>
    <w:rsid w:val="57AA016D"/>
    <w:rsid w:val="57F824A6"/>
    <w:rsid w:val="57FB0466"/>
    <w:rsid w:val="58103BC2"/>
    <w:rsid w:val="58302F5F"/>
    <w:rsid w:val="58683F70"/>
    <w:rsid w:val="58C117E3"/>
    <w:rsid w:val="59451D3C"/>
    <w:rsid w:val="594B577C"/>
    <w:rsid w:val="597F3D8D"/>
    <w:rsid w:val="598559ED"/>
    <w:rsid w:val="5A186BEB"/>
    <w:rsid w:val="5A1E1C0E"/>
    <w:rsid w:val="5A2F19D7"/>
    <w:rsid w:val="5A52553B"/>
    <w:rsid w:val="5AD017E8"/>
    <w:rsid w:val="5B17798A"/>
    <w:rsid w:val="5B1E16A0"/>
    <w:rsid w:val="5B2C1C9E"/>
    <w:rsid w:val="5B451B8E"/>
    <w:rsid w:val="5B52408F"/>
    <w:rsid w:val="5B615F3A"/>
    <w:rsid w:val="5C620240"/>
    <w:rsid w:val="5C857BCD"/>
    <w:rsid w:val="5C9E3C5A"/>
    <w:rsid w:val="5D152FE9"/>
    <w:rsid w:val="5D402BF2"/>
    <w:rsid w:val="5D5977A1"/>
    <w:rsid w:val="5D8C39D3"/>
    <w:rsid w:val="5DAA5B47"/>
    <w:rsid w:val="5DB860B0"/>
    <w:rsid w:val="5E0B1958"/>
    <w:rsid w:val="5E2D302C"/>
    <w:rsid w:val="5E3F3A98"/>
    <w:rsid w:val="5E4D291A"/>
    <w:rsid w:val="5E713D76"/>
    <w:rsid w:val="5E9F25BA"/>
    <w:rsid w:val="5EE60CDB"/>
    <w:rsid w:val="5F5A6677"/>
    <w:rsid w:val="5F5F0DEB"/>
    <w:rsid w:val="5F9F2C36"/>
    <w:rsid w:val="5FA41EB4"/>
    <w:rsid w:val="5FC15841"/>
    <w:rsid w:val="5FE0294A"/>
    <w:rsid w:val="608E511E"/>
    <w:rsid w:val="6151631D"/>
    <w:rsid w:val="616D4DB6"/>
    <w:rsid w:val="6189707A"/>
    <w:rsid w:val="618E67C4"/>
    <w:rsid w:val="622A323A"/>
    <w:rsid w:val="62354D3B"/>
    <w:rsid w:val="62653B60"/>
    <w:rsid w:val="627776C2"/>
    <w:rsid w:val="62AB21A3"/>
    <w:rsid w:val="63030ECB"/>
    <w:rsid w:val="6355121C"/>
    <w:rsid w:val="648A5FAB"/>
    <w:rsid w:val="64CE2DA0"/>
    <w:rsid w:val="65980A01"/>
    <w:rsid w:val="65BF2F4F"/>
    <w:rsid w:val="65D5063F"/>
    <w:rsid w:val="65E84BB8"/>
    <w:rsid w:val="65FD1A02"/>
    <w:rsid w:val="6645509E"/>
    <w:rsid w:val="66E4401A"/>
    <w:rsid w:val="66F41407"/>
    <w:rsid w:val="67A81554"/>
    <w:rsid w:val="67AD4D79"/>
    <w:rsid w:val="67D87514"/>
    <w:rsid w:val="67DE1942"/>
    <w:rsid w:val="686A66A6"/>
    <w:rsid w:val="69012A9A"/>
    <w:rsid w:val="69164DB1"/>
    <w:rsid w:val="694D7A8E"/>
    <w:rsid w:val="6A274783"/>
    <w:rsid w:val="6A82054E"/>
    <w:rsid w:val="6A940436"/>
    <w:rsid w:val="6ABE234F"/>
    <w:rsid w:val="6B5743B7"/>
    <w:rsid w:val="6BAA3B5F"/>
    <w:rsid w:val="6BE65436"/>
    <w:rsid w:val="6C094140"/>
    <w:rsid w:val="6C492D34"/>
    <w:rsid w:val="6CBA18DE"/>
    <w:rsid w:val="6CFA7A86"/>
    <w:rsid w:val="6D553454"/>
    <w:rsid w:val="6D5D656E"/>
    <w:rsid w:val="6D925A5E"/>
    <w:rsid w:val="6E1E13EB"/>
    <w:rsid w:val="6E3A6365"/>
    <w:rsid w:val="6E6304F9"/>
    <w:rsid w:val="6ECC4A08"/>
    <w:rsid w:val="70620CD8"/>
    <w:rsid w:val="706B1EE6"/>
    <w:rsid w:val="706C00D4"/>
    <w:rsid w:val="70C97444"/>
    <w:rsid w:val="70CD1FFB"/>
    <w:rsid w:val="712107AA"/>
    <w:rsid w:val="718B7F84"/>
    <w:rsid w:val="71AC42D8"/>
    <w:rsid w:val="71D511B8"/>
    <w:rsid w:val="72AC0BF5"/>
    <w:rsid w:val="72DD168B"/>
    <w:rsid w:val="734B2C0B"/>
    <w:rsid w:val="73641200"/>
    <w:rsid w:val="73A23FDE"/>
    <w:rsid w:val="74343F2E"/>
    <w:rsid w:val="7451194A"/>
    <w:rsid w:val="74561B0F"/>
    <w:rsid w:val="748C4EAB"/>
    <w:rsid w:val="75712029"/>
    <w:rsid w:val="757155DC"/>
    <w:rsid w:val="75B81F5F"/>
    <w:rsid w:val="75E128E7"/>
    <w:rsid w:val="75E9028D"/>
    <w:rsid w:val="763328E4"/>
    <w:rsid w:val="76633FEA"/>
    <w:rsid w:val="77625028"/>
    <w:rsid w:val="77B1419F"/>
    <w:rsid w:val="77BB1CBD"/>
    <w:rsid w:val="77D20F3C"/>
    <w:rsid w:val="77FD61AE"/>
    <w:rsid w:val="77FD620F"/>
    <w:rsid w:val="78433F84"/>
    <w:rsid w:val="78523E53"/>
    <w:rsid w:val="79032D08"/>
    <w:rsid w:val="790B08B4"/>
    <w:rsid w:val="79522A80"/>
    <w:rsid w:val="799209BF"/>
    <w:rsid w:val="79BB281B"/>
    <w:rsid w:val="79E85CDC"/>
    <w:rsid w:val="7A0A147A"/>
    <w:rsid w:val="7A1B1005"/>
    <w:rsid w:val="7A695AB3"/>
    <w:rsid w:val="7A6C7AAD"/>
    <w:rsid w:val="7ADE1A5F"/>
    <w:rsid w:val="7AFB031A"/>
    <w:rsid w:val="7B87091F"/>
    <w:rsid w:val="7BA50479"/>
    <w:rsid w:val="7C034C16"/>
    <w:rsid w:val="7C1724D2"/>
    <w:rsid w:val="7C17282C"/>
    <w:rsid w:val="7C9D280E"/>
    <w:rsid w:val="7CE03389"/>
    <w:rsid w:val="7CE96CDB"/>
    <w:rsid w:val="7D1B598A"/>
    <w:rsid w:val="7D8B6C7A"/>
    <w:rsid w:val="7D910E57"/>
    <w:rsid w:val="7D921999"/>
    <w:rsid w:val="7DC354A3"/>
    <w:rsid w:val="7E252CAB"/>
    <w:rsid w:val="7E5469FE"/>
    <w:rsid w:val="7EED242B"/>
    <w:rsid w:val="7F2C094A"/>
    <w:rsid w:val="7F355C66"/>
    <w:rsid w:val="7FA36B8E"/>
    <w:rsid w:val="7FF27A0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pPr>
    <w:rPr>
      <w:rFonts w:ascii="Times New Roman" w:hAnsi="Times New Roman" w:eastAsia="Times New Roman" w:cs="Times New Roman"/>
      <w:color w:val="000000"/>
      <w:sz w:val="24"/>
      <w:szCs w:val="24"/>
      <w:lang w:val="en-US" w:eastAsia="en-US" w:bidi="en-US"/>
    </w:rPr>
  </w:style>
  <w:style w:type="paragraph" w:styleId="2">
    <w:name w:val="heading 1"/>
    <w:basedOn w:val="1"/>
    <w:next w:val="1"/>
    <w:autoRedefine/>
    <w:qFormat/>
    <w:uiPriority w:val="0"/>
    <w:pPr>
      <w:spacing w:beforeAutospacing="1" w:afterAutospacing="1"/>
      <w:outlineLvl w:val="0"/>
    </w:pPr>
    <w:rPr>
      <w:rFonts w:hint="eastAsia" w:ascii="宋体" w:hAnsi="宋体" w:eastAsia="宋体"/>
      <w:b/>
      <w:bCs/>
      <w:kern w:val="44"/>
      <w:sz w:val="48"/>
      <w:szCs w:val="48"/>
      <w:lang w:eastAsia="zh-CN" w:bidi="ar-SA"/>
    </w:rPr>
  </w:style>
  <w:style w:type="paragraph" w:styleId="3">
    <w:name w:val="heading 2"/>
    <w:basedOn w:val="1"/>
    <w:next w:val="1"/>
    <w:autoRedefine/>
    <w:semiHidden/>
    <w:unhideWhenUsed/>
    <w:qFormat/>
    <w:uiPriority w:val="0"/>
    <w:pPr>
      <w:spacing w:beforeAutospacing="1" w:afterAutospacing="1"/>
      <w:outlineLvl w:val="1"/>
    </w:pPr>
    <w:rPr>
      <w:rFonts w:hint="eastAsia" w:ascii="宋体" w:hAnsi="宋体" w:eastAsia="宋体"/>
      <w:b/>
      <w:bCs/>
      <w:sz w:val="36"/>
      <w:szCs w:val="36"/>
      <w:lang w:eastAsia="zh-CN" w:bidi="ar-SA"/>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4">
    <w:name w:val="annotation text"/>
    <w:basedOn w:val="1"/>
    <w:link w:val="28"/>
    <w:autoRedefine/>
    <w:qFormat/>
    <w:uiPriority w:val="0"/>
  </w:style>
  <w:style w:type="paragraph" w:styleId="5">
    <w:name w:val="Body Text"/>
    <w:basedOn w:val="1"/>
    <w:next w:val="6"/>
    <w:link w:val="33"/>
    <w:autoRedefine/>
    <w:qFormat/>
    <w:uiPriority w:val="0"/>
    <w:pPr>
      <w:spacing w:after="120"/>
      <w:jc w:val="both"/>
    </w:pPr>
    <w:rPr>
      <w:rFonts w:ascii="Calibri" w:hAnsi="Calibri"/>
      <w:kern w:val="2"/>
      <w:sz w:val="21"/>
    </w:rPr>
  </w:style>
  <w:style w:type="paragraph" w:styleId="6">
    <w:name w:val="Body Text 2"/>
    <w:basedOn w:val="1"/>
    <w:autoRedefine/>
    <w:qFormat/>
    <w:uiPriority w:val="99"/>
    <w:rPr>
      <w:rFonts w:ascii="楷体_GB2312" w:hAnsi="Copperplate Gothic Bold" w:eastAsia="楷体_GB2312"/>
      <w:sz w:val="28"/>
    </w:rPr>
  </w:style>
  <w:style w:type="paragraph" w:styleId="7">
    <w:name w:val="Body Text Indent"/>
    <w:basedOn w:val="1"/>
    <w:autoRedefine/>
    <w:qFormat/>
    <w:uiPriority w:val="99"/>
    <w:pPr>
      <w:ind w:firstLine="560" w:firstLineChars="200"/>
    </w:pPr>
    <w:rPr>
      <w:rFonts w:eastAsia="宋体"/>
      <w:sz w:val="28"/>
    </w:rPr>
  </w:style>
  <w:style w:type="paragraph" w:styleId="8">
    <w:name w:val="Balloon Text"/>
    <w:basedOn w:val="1"/>
    <w:link w:val="35"/>
    <w:autoRedefine/>
    <w:qFormat/>
    <w:uiPriority w:val="0"/>
    <w:rPr>
      <w:sz w:val="18"/>
      <w:szCs w:val="18"/>
    </w:rPr>
  </w:style>
  <w:style w:type="paragraph" w:styleId="9">
    <w:name w:val="footer"/>
    <w:basedOn w:val="1"/>
    <w:link w:val="34"/>
    <w:autoRedefine/>
    <w:unhideWhenUsed/>
    <w:qFormat/>
    <w:uiPriority w:val="99"/>
    <w:pPr>
      <w:tabs>
        <w:tab w:val="center" w:pos="4153"/>
        <w:tab w:val="right" w:pos="8306"/>
      </w:tabs>
      <w:snapToGrid w:val="0"/>
    </w:pPr>
    <w:rPr>
      <w:sz w:val="18"/>
      <w:szCs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1">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12">
    <w:name w:val="toc 2"/>
    <w:basedOn w:val="1"/>
    <w:next w:val="1"/>
    <w:autoRedefine/>
    <w:qFormat/>
    <w:uiPriority w:val="39"/>
    <w:pPr>
      <w:ind w:left="420" w:leftChars="200"/>
    </w:pPr>
  </w:style>
  <w:style w:type="paragraph" w:styleId="13">
    <w:name w:val="Normal (Web)"/>
    <w:basedOn w:val="1"/>
    <w:autoRedefine/>
    <w:qFormat/>
    <w:uiPriority w:val="0"/>
    <w:pPr>
      <w:spacing w:beforeAutospacing="1" w:afterAutospacing="1"/>
    </w:pPr>
    <w:rPr>
      <w:lang w:eastAsia="zh-CN" w:bidi="ar-SA"/>
    </w:rPr>
  </w:style>
  <w:style w:type="paragraph" w:styleId="14">
    <w:name w:val="annotation subject"/>
    <w:basedOn w:val="4"/>
    <w:next w:val="4"/>
    <w:link w:val="29"/>
    <w:autoRedefine/>
    <w:qFormat/>
    <w:uiPriority w:val="0"/>
    <w:rPr>
      <w:b/>
      <w:bCs/>
    </w:rPr>
  </w:style>
  <w:style w:type="paragraph" w:styleId="15">
    <w:name w:val="Body Text First Indent"/>
    <w:basedOn w:val="5"/>
    <w:autoRedefine/>
    <w:qFormat/>
    <w:uiPriority w:val="0"/>
    <w:pPr>
      <w:ind w:firstLine="420" w:firstLineChars="100"/>
    </w:pPr>
    <w:rPr>
      <w:rFonts w:ascii="Times New Roman" w:hAnsi="Times New Roman" w:eastAsia="宋体"/>
      <w:szCs w:val="22"/>
      <w:lang w:eastAsia="zh-CN" w:bidi="ar-SA"/>
    </w:rPr>
  </w:style>
  <w:style w:type="table" w:styleId="17">
    <w:name w:val="Table Grid"/>
    <w:basedOn w:val="1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autoRedefine/>
    <w:qFormat/>
    <w:uiPriority w:val="0"/>
    <w:rPr>
      <w:b/>
    </w:rPr>
  </w:style>
  <w:style w:type="character" w:styleId="20">
    <w:name w:val="Emphasis"/>
    <w:basedOn w:val="18"/>
    <w:autoRedefine/>
    <w:qFormat/>
    <w:uiPriority w:val="0"/>
    <w:rPr>
      <w:i/>
    </w:rPr>
  </w:style>
  <w:style w:type="character" w:styleId="21">
    <w:name w:val="Hyperlink"/>
    <w:basedOn w:val="18"/>
    <w:autoRedefine/>
    <w:qFormat/>
    <w:uiPriority w:val="0"/>
    <w:rPr>
      <w:color w:val="0000FF"/>
      <w:u w:val="single"/>
    </w:rPr>
  </w:style>
  <w:style w:type="character" w:styleId="22">
    <w:name w:val="annotation reference"/>
    <w:basedOn w:val="18"/>
    <w:autoRedefine/>
    <w:qFormat/>
    <w:uiPriority w:val="0"/>
    <w:rPr>
      <w:sz w:val="21"/>
      <w:szCs w:val="21"/>
    </w:rPr>
  </w:style>
  <w:style w:type="paragraph" w:customStyle="1" w:styleId="23">
    <w:name w:val="Body text|2"/>
    <w:basedOn w:val="1"/>
    <w:autoRedefine/>
    <w:qFormat/>
    <w:uiPriority w:val="0"/>
    <w:pPr>
      <w:spacing w:before="650" w:after="1830"/>
      <w:jc w:val="center"/>
    </w:pPr>
    <w:rPr>
      <w:rFonts w:ascii="宋体" w:hAnsi="宋体" w:eastAsia="宋体" w:cs="宋体"/>
      <w:sz w:val="34"/>
      <w:szCs w:val="34"/>
      <w:lang w:val="zh-TW" w:eastAsia="zh-TW" w:bidi="zh-TW"/>
    </w:rPr>
  </w:style>
  <w:style w:type="paragraph" w:customStyle="1" w:styleId="24">
    <w:name w:val="Heading #1|1"/>
    <w:basedOn w:val="1"/>
    <w:autoRedefine/>
    <w:qFormat/>
    <w:uiPriority w:val="0"/>
    <w:pPr>
      <w:spacing w:after="880"/>
      <w:jc w:val="center"/>
      <w:outlineLvl w:val="0"/>
    </w:pPr>
    <w:rPr>
      <w:rFonts w:ascii="宋体" w:hAnsi="宋体" w:eastAsia="宋体" w:cs="宋体"/>
      <w:sz w:val="94"/>
      <w:szCs w:val="94"/>
      <w:lang w:val="zh-TW" w:eastAsia="zh-TW" w:bidi="zh-TW"/>
    </w:rPr>
  </w:style>
  <w:style w:type="paragraph" w:customStyle="1" w:styleId="25">
    <w:name w:val="Body text|1"/>
    <w:basedOn w:val="1"/>
    <w:autoRedefine/>
    <w:qFormat/>
    <w:uiPriority w:val="0"/>
    <w:pPr>
      <w:spacing w:line="430" w:lineRule="auto"/>
      <w:ind w:firstLine="400"/>
    </w:pPr>
    <w:rPr>
      <w:rFonts w:ascii="宋体" w:hAnsi="宋体" w:eastAsia="宋体" w:cs="宋体"/>
      <w:sz w:val="30"/>
      <w:szCs w:val="30"/>
      <w:lang w:val="zh-TW" w:eastAsia="zh-TW" w:bidi="zh-TW"/>
    </w:rPr>
  </w:style>
  <w:style w:type="paragraph" w:customStyle="1" w:styleId="26">
    <w:name w:val="正文1"/>
    <w:basedOn w:val="1"/>
    <w:autoRedefine/>
    <w:qFormat/>
    <w:uiPriority w:val="0"/>
    <w:pPr>
      <w:widowControl/>
      <w:jc w:val="both"/>
    </w:pPr>
    <w:rPr>
      <w:rFonts w:ascii="Calibri" w:hAnsi="Calibri" w:eastAsia="宋体"/>
      <w:kern w:val="2"/>
      <w:sz w:val="21"/>
      <w:szCs w:val="21"/>
      <w:lang w:eastAsia="zh-CN" w:bidi="ar-SA"/>
    </w:rPr>
  </w:style>
  <w:style w:type="paragraph" w:customStyle="1" w:styleId="27">
    <w:name w:val="p0"/>
    <w:basedOn w:val="1"/>
    <w:autoRedefine/>
    <w:qFormat/>
    <w:uiPriority w:val="0"/>
    <w:pPr>
      <w:widowControl/>
    </w:pPr>
    <w:rPr>
      <w:rFonts w:eastAsia="宋体"/>
      <w:szCs w:val="21"/>
    </w:rPr>
  </w:style>
  <w:style w:type="character" w:customStyle="1" w:styleId="28">
    <w:name w:val="批注文字 字符"/>
    <w:basedOn w:val="18"/>
    <w:link w:val="4"/>
    <w:autoRedefine/>
    <w:qFormat/>
    <w:uiPriority w:val="0"/>
    <w:rPr>
      <w:rFonts w:eastAsia="Times New Roman"/>
      <w:color w:val="000000"/>
      <w:sz w:val="24"/>
      <w:szCs w:val="24"/>
      <w:lang w:eastAsia="en-US" w:bidi="en-US"/>
    </w:rPr>
  </w:style>
  <w:style w:type="character" w:customStyle="1" w:styleId="29">
    <w:name w:val="批注主题 字符"/>
    <w:basedOn w:val="28"/>
    <w:link w:val="14"/>
    <w:autoRedefine/>
    <w:qFormat/>
    <w:uiPriority w:val="0"/>
    <w:rPr>
      <w:rFonts w:eastAsia="Times New Roman"/>
      <w:b/>
      <w:bCs/>
      <w:color w:val="000000"/>
      <w:sz w:val="24"/>
      <w:szCs w:val="24"/>
      <w:lang w:eastAsia="en-US" w:bidi="en-US"/>
    </w:rPr>
  </w:style>
  <w:style w:type="paragraph" w:customStyle="1" w:styleId="30">
    <w:name w:val="正文2"/>
    <w:basedOn w:val="1"/>
    <w:autoRedefine/>
    <w:qFormat/>
    <w:uiPriority w:val="0"/>
    <w:pPr>
      <w:widowControl/>
      <w:jc w:val="both"/>
    </w:pPr>
    <w:rPr>
      <w:rFonts w:ascii="Calibri" w:hAnsi="Calibri" w:eastAsia="宋体"/>
      <w:kern w:val="2"/>
      <w:sz w:val="21"/>
      <w:szCs w:val="21"/>
      <w:lang w:eastAsia="zh-CN" w:bidi="ar-SA"/>
    </w:rPr>
  </w:style>
  <w:style w:type="character" w:customStyle="1" w:styleId="31">
    <w:name w:val="font01"/>
    <w:basedOn w:val="18"/>
    <w:autoRedefine/>
    <w:qFormat/>
    <w:uiPriority w:val="0"/>
    <w:rPr>
      <w:rFonts w:hint="eastAsia" w:ascii="宋体" w:hAnsi="宋体" w:eastAsia="宋体" w:cs="宋体"/>
      <w:b/>
      <w:bCs/>
      <w:color w:val="000000"/>
      <w:sz w:val="18"/>
      <w:szCs w:val="18"/>
      <w:u w:val="none"/>
    </w:rPr>
  </w:style>
  <w:style w:type="character" w:customStyle="1" w:styleId="32">
    <w:name w:val="font31"/>
    <w:basedOn w:val="18"/>
    <w:autoRedefine/>
    <w:qFormat/>
    <w:uiPriority w:val="0"/>
    <w:rPr>
      <w:rFonts w:hint="default" w:ascii="Times New Roman" w:hAnsi="Times New Roman" w:cs="Times New Roman"/>
      <w:b/>
      <w:bCs/>
      <w:color w:val="000000"/>
      <w:sz w:val="18"/>
      <w:szCs w:val="18"/>
      <w:u w:val="none"/>
    </w:rPr>
  </w:style>
  <w:style w:type="character" w:customStyle="1" w:styleId="33">
    <w:name w:val="正文文本 字符"/>
    <w:basedOn w:val="18"/>
    <w:link w:val="5"/>
    <w:autoRedefine/>
    <w:qFormat/>
    <w:uiPriority w:val="0"/>
    <w:rPr>
      <w:rFonts w:ascii="Calibri" w:hAnsi="Calibri" w:eastAsia="Times New Roman"/>
      <w:color w:val="000000"/>
      <w:kern w:val="2"/>
      <w:sz w:val="21"/>
      <w:szCs w:val="24"/>
      <w:lang w:eastAsia="en-US" w:bidi="en-US"/>
    </w:rPr>
  </w:style>
  <w:style w:type="character" w:customStyle="1" w:styleId="34">
    <w:name w:val="页脚 字符"/>
    <w:basedOn w:val="18"/>
    <w:link w:val="9"/>
    <w:autoRedefine/>
    <w:qFormat/>
    <w:uiPriority w:val="99"/>
    <w:rPr>
      <w:rFonts w:eastAsia="Times New Roman"/>
      <w:color w:val="000000"/>
      <w:sz w:val="18"/>
      <w:szCs w:val="18"/>
      <w:lang w:eastAsia="en-US" w:bidi="en-US"/>
    </w:rPr>
  </w:style>
  <w:style w:type="character" w:customStyle="1" w:styleId="35">
    <w:name w:val="批注框文本 字符"/>
    <w:basedOn w:val="18"/>
    <w:link w:val="8"/>
    <w:autoRedefine/>
    <w:qFormat/>
    <w:uiPriority w:val="0"/>
    <w:rPr>
      <w:rFonts w:eastAsia="Times New Roman"/>
      <w:color w:val="000000"/>
      <w:sz w:val="18"/>
      <w:szCs w:val="18"/>
      <w:lang w:eastAsia="en-US" w:bidi="en-US"/>
    </w:rPr>
  </w:style>
  <w:style w:type="paragraph" w:customStyle="1" w:styleId="36">
    <w:name w:val="BodyText"/>
    <w:basedOn w:val="1"/>
    <w:autoRedefine/>
    <w:qFormat/>
    <w:uiPriority w:val="0"/>
    <w:pPr>
      <w:spacing w:after="120"/>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DDA96B-D932-45C1-BAA8-0A6A8F3159D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4166</Words>
  <Characters>4556</Characters>
  <Lines>31</Lines>
  <Paragraphs>8</Paragraphs>
  <TotalTime>24</TotalTime>
  <ScaleCrop>false</ScaleCrop>
  <LinksUpToDate>false</LinksUpToDate>
  <CharactersWithSpaces>4643</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2023-06-26T07:46:00Z</dcterms:created>
  <dc:creator>long</dc:creator>
  <cp:lastModifiedBy>小幸福！</cp:lastModifiedBy>
  <cp:lastPrinted>2023-07-19T00:51:00Z</cp:lastPrinted>
  <dcterms:modified xsi:type="dcterms:W3CDTF">2024-09-03T06:35:38Z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635C75E87D4C46038BF2132B674ED153_13</vt:lpwstr>
  </property>
  <property fmtid="{D5CDD505-2E9C-101B-9397-08002B2CF9AE}" pid="4" name="commondata">
    <vt:lpwstr>eyJoZGlkIjoiMjAzYmY0YWQwYjhlNjY2M2JmNWE0N2IxMjFmZWFjZWUifQ==</vt:lpwstr>
  </property>
</Properties>
</file>