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28DE">
      <w:pPr>
        <w:tabs>
          <w:tab w:val="left" w:pos="2100"/>
        </w:tabs>
        <w:spacing w:line="56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1462B3FA">
      <w:pPr>
        <w:spacing w:before="141" w:line="207" w:lineRule="auto"/>
        <w:ind w:right="-219" w:rightChars="0"/>
        <w:jc w:val="center"/>
        <w:outlineLvl w:val="0"/>
        <w:rPr>
          <w:rFonts w:hint="eastAsia" w:ascii="黑体" w:hAnsi="黑体" w:eastAsia="黑体" w:cs="黑体"/>
          <w:b/>
          <w:bCs/>
          <w:spacing w:val="9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9"/>
          <w:sz w:val="44"/>
          <w:szCs w:val="44"/>
          <w:lang w:val="en-US" w:eastAsia="zh-CN"/>
        </w:rPr>
        <w:t>2023年省级文化产业发展专项资金</w:t>
      </w:r>
    </w:p>
    <w:p w14:paraId="3102179D">
      <w:pPr>
        <w:spacing w:before="141" w:line="207" w:lineRule="auto"/>
        <w:ind w:right="-219" w:rightChars="0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"/>
          <w:sz w:val="44"/>
          <w:szCs w:val="44"/>
          <w:lang w:eastAsia="zh-CN"/>
        </w:rPr>
        <w:t>绩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</w:rPr>
        <w:t>效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  <w:lang w:val="en-US" w:eastAsia="zh-CN"/>
        </w:rPr>
        <w:t>评价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</w:rPr>
        <w:t>报告</w:t>
      </w:r>
    </w:p>
    <w:p w14:paraId="2D747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694E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金台区财政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项目支出绩效评价管理办法》（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宝金财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〔202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号）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《关于做好202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年财政重点绩效评价工作的通知》（宝金财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等相关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文件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遵循科学性、规范性、客观性、公正性的原则，我局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组织对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2023年省级文化产业发展专项资金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进行了事后绩效评价。现将评价情况报告如下：</w:t>
      </w:r>
    </w:p>
    <w:p w14:paraId="506483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项目基本概况</w:t>
      </w:r>
    </w:p>
    <w:p w14:paraId="5FEDA6D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中省下达我区</w:t>
      </w:r>
      <w:r>
        <w:rPr>
          <w:rFonts w:hint="eastAsia" w:ascii="仿宋" w:hAnsi="仿宋" w:eastAsia="仿宋" w:cs="仿宋"/>
          <w:sz w:val="32"/>
          <w:szCs w:val="32"/>
        </w:rPr>
        <w:t>2023年省级文化产业发展专项资金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200万元，由项目主管单位区委宣传部管理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区委宣传部于</w:t>
      </w:r>
      <w:r>
        <w:rPr>
          <w:rFonts w:hint="eastAsia" w:ascii="仿宋" w:hAnsi="仿宋" w:eastAsia="仿宋" w:cs="仿宋"/>
          <w:sz w:val="32"/>
          <w:szCs w:val="32"/>
        </w:rPr>
        <w:t>2023年9月28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日将该专项资金拨付</w:t>
      </w:r>
      <w:r>
        <w:rPr>
          <w:rFonts w:hint="eastAsia" w:ascii="仿宋" w:hAnsi="仿宋" w:eastAsia="仿宋" w:cs="仿宋"/>
          <w:sz w:val="32"/>
          <w:szCs w:val="32"/>
        </w:rPr>
        <w:t>至陕西宏晟唐潮文化发展有限公司。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该项目由陕西</w:t>
      </w:r>
      <w:r>
        <w:rPr>
          <w:rFonts w:hint="eastAsia" w:ascii="仿宋" w:hAnsi="仿宋" w:eastAsia="仿宋" w:cs="仿宋"/>
          <w:sz w:val="32"/>
          <w:szCs w:val="32"/>
        </w:rPr>
        <w:t>宏晟唐潮文化发展有限公司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原宝商家美佳购物广场（金台大道13号）改造更新，改造亮化后形成新的产业布局，实现文化创意产业、科技创新产业、餐饮美食产业、休闲娱乐产业、便民服务等产业布局于一体的文旅商体融合的线下消费综合体。</w:t>
      </w:r>
    </w:p>
    <w:p w14:paraId="3F40D7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1、项目名称：2023年省级文化产业发展专项资金</w:t>
      </w:r>
    </w:p>
    <w:p w14:paraId="7577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2、主管部门：区委宣传部</w:t>
      </w:r>
    </w:p>
    <w:p w14:paraId="3F27F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3、实施单位：陕西宏晟唐潮文化发展有限公司</w:t>
      </w:r>
    </w:p>
    <w:p w14:paraId="0A812B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4、项目投资：项目总投资570万元，其中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唐潮城文化街区改造、装修、配套设施等投资 566.5391 万元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组织文化活动、宣传、展演等4.4242 万元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200 万元是来自2023年省级文化产业发展专项资金，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其中13.0404万元用于亚克力文化墙及灯箱装饰安装，70万元用于购置安装天幕亮化设施设备，6.9万元用于购置唐妞装饰形象雕塑，63.897万元用于二楼街区3D墙面彩绘，46.1626万元用于文化活动、宣传，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其余部分由企业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26CC76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建设内容：对原钢结构两层购物中心进行设计改造，对二楼街区进行国风风格装饰亮化，内设有3D国风彩绘壁画打卡墙、亚克力照片文化墙、1200㎡天幕及夜间霓虹灯天桥等文化宣传类设施；引进VR科技体验馆、唐潮集市、沐林篮球、舒兰茶社、悦琪艺术中心等文化科技休闲类商铺场馆。全力打造以“沉浸式”（国潮）元素为主导的新兴文旅融合形态，形成融合国潮文化及现代化商业的建筑体。</w:t>
      </w:r>
    </w:p>
    <w:p w14:paraId="3BECDF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6、建设期限：2022年4月至2023年10月。</w:t>
      </w:r>
    </w:p>
    <w:p w14:paraId="6C802A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（二）资金管理情况分析。</w:t>
      </w:r>
    </w:p>
    <w:p w14:paraId="4BF05D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在专项资金管理使用上，严格按照国家规定的使用范围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坚持专账管理、专款专用、专人负责的原则；严格执行结项验收制度并按照程序履行项目调整手续，项目建设与已批复方案及预算相符；不存在违反规定擅自设立项目、违反规定扩大开支范围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提高开支标准的现象。专项资金的落实、管理、使用以及项目的实施情况均合理合规。</w:t>
      </w:r>
    </w:p>
    <w:p w14:paraId="42E245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（三）总体绩效目标完成情况分析。</w:t>
      </w:r>
    </w:p>
    <w:p w14:paraId="1FC3AB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唐潮文旅商体融合项目在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2023年9月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竣工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10月开始试营业。</w:t>
      </w:r>
      <w:r>
        <w:rPr>
          <w:rFonts w:hint="eastAsia" w:ascii="仿宋" w:hAnsi="仿宋" w:eastAsia="仿宋" w:cs="仿宋"/>
          <w:sz w:val="32"/>
          <w:szCs w:val="32"/>
        </w:rPr>
        <w:t>严格按绩效管理制度进行，遵守相关法律法规和业务管理规定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设周期按预算周期严格执行，建设用料符合国家标准；工程质量通过专业验收率达100%；成控达标率95%。严格按照财务部门管理规范，健全制度，项目资金支付手续完备，及时收集相关资料并归档；监督规范使用资金，无截留、挤占、挪用等情况，确保专款专用。</w:t>
      </w:r>
    </w:p>
    <w:p w14:paraId="492EF14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四）绩效指标完成情况分析。（根据各三级绩效指标值，逐项分析全年实际完成情况）</w:t>
      </w:r>
    </w:p>
    <w:p w14:paraId="2548F91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1、数量指标：唐潮文旅商体融合项目在预期建设周期内竣工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资金到位率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1F18AB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2、质量指标：按照绩效管理制度进行，遵守相关法律法规和业务管理规定，工程质量通过专业验收率达 100%。</w:t>
      </w:r>
    </w:p>
    <w:p w14:paraId="685E63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3、时效指标：建设周期按预算周期严格执行，项目建设施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工作按项目节点要求完成改建，建设用料符合国家标准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F2E2F1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4、成本指标：按照财务部门管理规范，健全制度，项目资金支付手续完备，及时收集相关资料并归档；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资金按时到位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监督规范使用资金，无截留、挤占、挪用等情况，确保专款专用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03316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5、经济效益指标：唐潮文旅商体融合项目建成以来，企业营收增长约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倍，企业纳税增长约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倍，企业利润增长约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620CC8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6、社会效益指标：唐潮文旅商体融合项目达产后，约带动周边就业人员共计每年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500-800</w:t>
      </w:r>
      <w:r>
        <w:rPr>
          <w:rFonts w:hint="eastAsia" w:ascii="仿宋" w:hAnsi="仿宋" w:eastAsia="仿宋" w:cs="仿宋"/>
          <w:sz w:val="32"/>
          <w:szCs w:val="32"/>
        </w:rPr>
        <w:t>人；增加宝鸡市内文化休闲娱乐场所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形成文旅商科体综合街区、陈仓园夜间经济聚集区。</w:t>
      </w:r>
    </w:p>
    <w:p w14:paraId="2D5AA7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、可持续影响指标：促进了宝鸡市区经济结构多样化，带动“大宝鸡 ”城市更新，推进城市复兴，对文化产业创新发展带来积极持续影响。</w:t>
      </w:r>
    </w:p>
    <w:p w14:paraId="23238A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、服务对象满意度指标：市民及顾客对项目提升改造后，设施设备的提升有较高的满意度，方便了周边居民的生活，给广大市民提供了新的休闲运动场所。</w:t>
      </w:r>
    </w:p>
    <w:p w14:paraId="69D22A8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  <w:t>二、绩效评价开展情况</w:t>
      </w:r>
    </w:p>
    <w:p w14:paraId="28DC43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（一）绩效评价的依据</w:t>
      </w:r>
    </w:p>
    <w:p w14:paraId="43D6FB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1、中、省、市现行相关政策文件；</w:t>
      </w:r>
    </w:p>
    <w:p w14:paraId="0BC84064">
      <w:pPr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2、区财政局《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关于下达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2023年省级文化产业发展专项资金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》（宝金财教[2023]26号）；</w:t>
      </w:r>
    </w:p>
    <w:p w14:paraId="1BD4A9E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3、区财政局《财政项目支出绩效评价管理暂行办法》；</w:t>
      </w:r>
    </w:p>
    <w:p w14:paraId="7CA195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4、项目实施单位提供的相关资料，包括项目申报资料、项目自评报告、绩效目标表、资金到账及资金支出凭证，项目实施、产出及管理等相关资料；</w:t>
      </w:r>
    </w:p>
    <w:p w14:paraId="42A026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5、其他相关资料。</w:t>
      </w:r>
    </w:p>
    <w:p w14:paraId="268225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（二）绩效评价的方式</w:t>
      </w:r>
    </w:p>
    <w:p w14:paraId="0C2150C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绩效评价结果采取评分和评级相结合的方式，由金台区财政局成立评价小组，结合项目实施单位自评情况进行综合评价。</w:t>
      </w:r>
    </w:p>
    <w:p w14:paraId="7884242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评价方法</w:t>
      </w:r>
    </w:p>
    <w:p w14:paraId="746F28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采用成本效益分析法、比较法、因素分析法等评价方法，在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项目单位自评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的基础上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由评价小组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统计汇总与数据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分析、整体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分析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评价等方式进行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评价，形成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评价结论，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撰写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427CAF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评价标准</w:t>
      </w:r>
    </w:p>
    <w:p w14:paraId="6EB609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2023年文化产业发展专项项目（</w:t>
      </w:r>
      <w:r>
        <w:rPr>
          <w:rFonts w:hint="eastAsia" w:ascii="仿宋" w:hAnsi="仿宋" w:eastAsia="仿宋" w:cs="仿宋"/>
          <w:sz w:val="32"/>
          <w:szCs w:val="32"/>
        </w:rPr>
        <w:t>唐潮文旅商体融合项目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）绩效评价采用百分制得分。评价指标共设置3个一级指标、8个二级指标、20个三级指标。评价结果分为优、良、一般、差4个评价等次，根据计算结果的分值，确定评价项目最后达到的等次。</w:t>
      </w:r>
    </w:p>
    <w:tbl>
      <w:tblPr>
        <w:tblStyle w:val="8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64"/>
        <w:gridCol w:w="2028"/>
        <w:gridCol w:w="2262"/>
        <w:gridCol w:w="1363"/>
      </w:tblGrid>
      <w:tr w14:paraId="775B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14" w:type="dxa"/>
            <w:tcBorders>
              <w:left w:val="nil"/>
            </w:tcBorders>
            <w:noWrap w:val="0"/>
            <w:vAlign w:val="center"/>
          </w:tcPr>
          <w:p w14:paraId="24A0EBD8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评价等次</w:t>
            </w:r>
          </w:p>
        </w:tc>
        <w:tc>
          <w:tcPr>
            <w:tcW w:w="1264" w:type="dxa"/>
            <w:noWrap w:val="0"/>
            <w:vAlign w:val="center"/>
          </w:tcPr>
          <w:p w14:paraId="58DB1211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优</w:t>
            </w:r>
          </w:p>
        </w:tc>
        <w:tc>
          <w:tcPr>
            <w:tcW w:w="2028" w:type="dxa"/>
            <w:noWrap w:val="0"/>
            <w:vAlign w:val="center"/>
          </w:tcPr>
          <w:p w14:paraId="2E004BBC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良</w:t>
            </w:r>
          </w:p>
        </w:tc>
        <w:tc>
          <w:tcPr>
            <w:tcW w:w="2262" w:type="dxa"/>
            <w:noWrap w:val="0"/>
            <w:vAlign w:val="center"/>
          </w:tcPr>
          <w:p w14:paraId="11353701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一般</w:t>
            </w:r>
          </w:p>
        </w:tc>
        <w:tc>
          <w:tcPr>
            <w:tcW w:w="1363" w:type="dxa"/>
            <w:tcBorders>
              <w:right w:val="nil"/>
            </w:tcBorders>
            <w:noWrap w:val="0"/>
            <w:vAlign w:val="center"/>
          </w:tcPr>
          <w:p w14:paraId="4408D486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差</w:t>
            </w:r>
          </w:p>
        </w:tc>
      </w:tr>
      <w:tr w14:paraId="7B2D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14" w:type="dxa"/>
            <w:tcBorders>
              <w:left w:val="nil"/>
            </w:tcBorders>
            <w:noWrap w:val="0"/>
            <w:vAlign w:val="center"/>
          </w:tcPr>
          <w:p w14:paraId="53269A78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分值S</w:t>
            </w:r>
          </w:p>
        </w:tc>
        <w:tc>
          <w:tcPr>
            <w:tcW w:w="1264" w:type="dxa"/>
            <w:noWrap w:val="0"/>
            <w:vAlign w:val="center"/>
          </w:tcPr>
          <w:p w14:paraId="3B5DCE8B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S ≥ 90</w:t>
            </w:r>
          </w:p>
        </w:tc>
        <w:tc>
          <w:tcPr>
            <w:tcW w:w="2028" w:type="dxa"/>
            <w:noWrap w:val="0"/>
            <w:vAlign w:val="center"/>
          </w:tcPr>
          <w:p w14:paraId="25560C95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90＞ S ≥ 80</w:t>
            </w:r>
          </w:p>
        </w:tc>
        <w:tc>
          <w:tcPr>
            <w:tcW w:w="2262" w:type="dxa"/>
            <w:noWrap w:val="0"/>
            <w:vAlign w:val="center"/>
          </w:tcPr>
          <w:p w14:paraId="42B8FBFB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80 ＞ S ≥ 60</w:t>
            </w:r>
          </w:p>
        </w:tc>
        <w:tc>
          <w:tcPr>
            <w:tcW w:w="1363" w:type="dxa"/>
            <w:tcBorders>
              <w:right w:val="nil"/>
            </w:tcBorders>
            <w:noWrap w:val="0"/>
            <w:vAlign w:val="center"/>
          </w:tcPr>
          <w:p w14:paraId="4D1EBC72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S ＜ 60</w:t>
            </w:r>
          </w:p>
        </w:tc>
      </w:tr>
    </w:tbl>
    <w:p w14:paraId="5A9C04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20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6F5A6D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（五）绩效评价工作过程</w:t>
      </w:r>
    </w:p>
    <w:p w14:paraId="531518AC">
      <w:pPr>
        <w:spacing w:line="600" w:lineRule="exact"/>
        <w:ind w:firstLine="640" w:firstLineChars="200"/>
        <w:jc w:val="left"/>
        <w:rPr>
          <w:rFonts w:ascii="仿宋" w:eastAsia="仿宋" w:cs="仿宋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Cs/>
          <w:kern w:val="2"/>
          <w:sz w:val="32"/>
          <w:szCs w:val="32"/>
          <w:lang w:val="en-US" w:eastAsia="zh-CN" w:bidi="ar-SA"/>
        </w:rPr>
        <w:t>按照我局2023年度重点项目绩效评价文件的要求，成立了以</w:t>
      </w:r>
      <w:r>
        <w:rPr>
          <w:rFonts w:hint="eastAsia" w:ascii="仿宋" w:eastAsia="仿宋" w:cs="仿宋"/>
          <w:bCs/>
          <w:color w:val="000000"/>
          <w:sz w:val="32"/>
          <w:szCs w:val="32"/>
          <w:lang w:val="en-US" w:eastAsia="zh-CN"/>
        </w:rPr>
        <w:t>副局长李瑛为组长，科教文股齐萍、刘恬为组员的绩效评价小组，主评人为齐萍。同时对照绩效评价指标要求，结合本项目的特点，客观开展</w:t>
      </w:r>
      <w:r>
        <w:rPr>
          <w:rFonts w:hint="eastAsia" w:ascii="仿宋" w:eastAsia="仿宋" w:cs="仿宋"/>
          <w:bCs/>
          <w:color w:val="000000"/>
          <w:sz w:val="32"/>
          <w:szCs w:val="32"/>
        </w:rPr>
        <w:t>绩效评价工作。</w:t>
      </w:r>
    </w:p>
    <w:p w14:paraId="500932A3">
      <w:pPr>
        <w:keepNext/>
        <w:keepLines w:val="0"/>
        <w:pageBreakBefore w:val="0"/>
        <w:widowControl w:val="0"/>
        <w:tabs>
          <w:tab w:val="left" w:pos="1498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前期准备的基础上，项目单位按照绩效评价要求，认真组织开展绩效自评，形成单位自评报告。评价小组对单位项目绩效评价资料进行全面检查，结合平时掌握的基本情况，参照单位自评结果，经整体分析、综合评价，进行项目支出绩效评价打分，形成单位项目绩效评价报告。在评价中力求科学、规范、客观和公正，但在实际评价过程中依然存在局限性：一是由于评价时间、人力等限制，获取数据与信息来源存在局限性；二是评价工作人员知识面、经验等限制，在理解和判断上存在认知局限性；但不影响评价结果的客观性和公正性。</w:t>
      </w:r>
    </w:p>
    <w:p w14:paraId="6E0B39C0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  <w:t>三、综合评价情况及评价结论（附项目绩效评价打分表）</w:t>
      </w:r>
    </w:p>
    <w:p w14:paraId="33AE72AD">
      <w:pPr>
        <w:keepNext/>
        <w:keepLines w:val="0"/>
        <w:pageBreakBefore w:val="0"/>
        <w:widowControl w:val="0"/>
        <w:tabs>
          <w:tab w:val="left" w:pos="149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2023年省级文化产业发展专项资金项目</w:t>
      </w:r>
      <w:r>
        <w:rPr>
          <w:rFonts w:hint="eastAsia" w:ascii="仿宋" w:hAnsi="仿宋" w:eastAsia="仿宋" w:cs="仿宋"/>
          <w:sz w:val="32"/>
          <w:szCs w:val="32"/>
        </w:rPr>
        <w:t>是落实宝鸡市委、市政府提出的关于加快宝鸡文旅商体融合发展目标的具体举措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是按照“实现城市商业升级” 与“引导区域文化消费 ”的发展理念，开展文旅产业发展规划的重要一环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符合国家相关法律法规和政策规定，符合财政专项资金支持方向，符合文化产业事业高质量发展的需要，项目</w:t>
      </w:r>
      <w:r>
        <w:rPr>
          <w:rFonts w:hint="eastAsia" w:ascii="仿宋" w:hAnsi="仿宋" w:eastAsia="仿宋" w:cs="仿宋"/>
          <w:sz w:val="32"/>
          <w:szCs w:val="32"/>
        </w:rPr>
        <w:t>较好的改造提升了周边规划配套设施，每年吸引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顾客</w:t>
      </w:r>
      <w:r>
        <w:rPr>
          <w:rFonts w:hint="eastAsia" w:ascii="仿宋" w:hAnsi="仿宋" w:eastAsia="仿宋" w:cs="仿宋"/>
          <w:sz w:val="32"/>
          <w:szCs w:val="32"/>
        </w:rPr>
        <w:t>超过百万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产出数量及质量好，时效性较强，项目社会效益、可持续性发展影响深远，群众满意度高。但项目实施单位相关管理制度不够规范，单位内控制度不够健全，项目绩效管理工作有待加强。结合单位自评及数据分析等工作，经认真评价，本项目绩效评价得分为 90.5分，绩效级别绩效等次为优。（得分情况详见附表）。</w:t>
      </w:r>
    </w:p>
    <w:p w14:paraId="31589CCC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 w:val="0"/>
          <w:sz w:val="32"/>
          <w:szCs w:val="32"/>
        </w:rPr>
        <w:t>四、绩效评价指标分析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。</w:t>
      </w:r>
    </w:p>
    <w:p w14:paraId="5AFBC1C3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（一）项目资金情况分析</w:t>
      </w:r>
    </w:p>
    <w:p w14:paraId="03E7670E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关于下达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2023年省级文化产业发展专项资金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宝金财教[2023]26号）文件下达区委宣传部200万元，区委宣传部根据项目工程进度划执行，在项目主体完成后，于2023年9月支付工程专项资金200万元，资金支付率100%。项目实施单位的财务和业务管理制度比较健全；项目具体实施和资金使用过程符合相关财务管理规定。在资金使用上有完整的报账程度和手续，在财务核算上做到了专项核算、专款专用，不存在截留、挤占、挪用、虚列支出等情况。</w:t>
      </w:r>
    </w:p>
    <w:p w14:paraId="4DCBB924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（二）项目绩效情况分析</w:t>
      </w:r>
    </w:p>
    <w:p w14:paraId="7207A230">
      <w:pPr>
        <w:pStyle w:val="4"/>
        <w:keepNext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1、项目产出方面。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唐潮文旅商体融合项目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完成文化项目改造提升，完成建筑外立面、文化街区的装饰装修工程；将文化IP和潮流文化融合，形成宝鸡国潮元素为主导的新兴文旅商业体。</w:t>
      </w:r>
    </w:p>
    <w:p w14:paraId="27FA1603">
      <w:pPr>
        <w:pStyle w:val="3"/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2、社会效益方面。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唐潮文旅商体融合项目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开业后，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约带动周边就业人员共计每年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500-800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人；增加宝鸡市内文化休闲娱乐场所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形成文旅商科体综合街区、陈仓园夜间经济聚集区。</w:t>
      </w:r>
    </w:p>
    <w:p w14:paraId="293F2E3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bidi="ar-SA"/>
        </w:rPr>
        <w:t>可持续影响方面。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 w:bidi="ar-SA"/>
        </w:rPr>
        <w:t>项目投资可获得较为长期的受益，</w:t>
      </w:r>
      <w:r>
        <w:rPr>
          <w:rFonts w:hint="eastAsia" w:ascii="仿宋" w:hAnsi="仿宋" w:eastAsia="仿宋" w:cs="仿宋"/>
          <w:sz w:val="32"/>
          <w:szCs w:val="32"/>
        </w:rPr>
        <w:t>促进了宝鸡市区经济结构多样化，带动“大宝鸡 ”城市更新，推进城市复兴，对文化产业创新发展带来积极持续影响。</w:t>
      </w:r>
    </w:p>
    <w:p w14:paraId="74494C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bidi="ar-SA"/>
        </w:rPr>
        <w:t>满意度方面。</w:t>
      </w:r>
      <w:r>
        <w:rPr>
          <w:rFonts w:hint="eastAsia" w:ascii="仿宋" w:hAnsi="仿宋" w:eastAsia="仿宋" w:cs="仿宋"/>
          <w:sz w:val="32"/>
          <w:szCs w:val="32"/>
        </w:rPr>
        <w:t>市民及顾客对项目提升改造后，设施设备的提升有较高的满意度，方便了周边居民的生活，给广大市民提供了新的休闲运动场所。</w:t>
      </w:r>
    </w:p>
    <w:p w14:paraId="682DCEC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五、存在问题及建议</w:t>
      </w:r>
    </w:p>
    <w:p w14:paraId="0D25992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（一）项目实施相关管理工作不到位。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一是项目制度建设存在不足，未建立内控制度等；二是制度执行不到位；三是资料管理不规范，项目实施资料不够齐全。</w:t>
      </w:r>
    </w:p>
    <w:p w14:paraId="0E68FC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（二）项目绩效管理工作有待加强。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尽管项目实施单位开展了绩效管理工作，但存在预算管理机制尚未建立，绩效目标设置不恰当，不全面，绩效自评工作不够规范。</w:t>
      </w:r>
    </w:p>
    <w:p w14:paraId="645ACED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（三）建议</w:t>
      </w:r>
    </w:p>
    <w:p w14:paraId="5328878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项目实施单位加强制度建设，加强各项制度的日常规范管理，加强合同文书及验收管理。项目单位应针对专项资金项目建立专项资金使用办法、项目实施管理办法等，加强内部控制制度的建立等，完善现有的管理制度。项目单位应加强日常管理与考核，维护制度的严肃性，充分发挥制度的指导性、激励性等作用。</w:t>
      </w:r>
    </w:p>
    <w:p w14:paraId="3CB28A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项目单位要切实增强绩效管理理念，树立绩效管理意识，筑牢“花钱必问效，无效必问责”的绩效理念，努力提高绩效目标完整性和规范性，并要着力健全项目绩效长效机制。</w:t>
      </w:r>
    </w:p>
    <w:p w14:paraId="53B17B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进一步推动项目建设，加大宣传力度，同时根据项目进展情况适时增加资金投入，提高顾客的体验感与舒适感。结合宝鸡文旅商体融合发展思路，在唐潮城实现时尚潮流聚集、科创文化聚集、休闲娱乐聚集，打造宝鸡产业升级的新引擎。</w:t>
      </w:r>
    </w:p>
    <w:p w14:paraId="4911C6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FD6E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E5D2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8" w:leftChars="304" w:hanging="1280" w:hangingChars="400"/>
        <w:jc w:val="lef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附件1：2023年省级文化产业发展专项资金项目（政策）绩效目标表</w:t>
      </w:r>
    </w:p>
    <w:p w14:paraId="373308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附件2：2023年省级文化产业发展专项资金得分表</w:t>
      </w:r>
    </w:p>
    <w:p w14:paraId="4F046AA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2F97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AA689D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宝鸡市金台区财政局</w:t>
      </w:r>
    </w:p>
    <w:p w14:paraId="70D711D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840" w:firstLineChars="1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2024年6月18日</w:t>
      </w:r>
    </w:p>
    <w:p w14:paraId="7D5A8BA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016BE0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367FEC7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1A6C0DF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2CDC31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55EA69D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60BFD0E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36CBBE5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77F5AC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6B3B833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6D8F09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4DAB902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tbl>
      <w:tblPr>
        <w:tblStyle w:val="8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59"/>
        <w:gridCol w:w="1280"/>
        <w:gridCol w:w="1071"/>
        <w:gridCol w:w="1254"/>
        <w:gridCol w:w="1725"/>
        <w:gridCol w:w="593"/>
      </w:tblGrid>
      <w:tr w14:paraId="420C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E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093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760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22E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F3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5E6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368D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项目（政策）绩效目标表</w:t>
            </w:r>
          </w:p>
        </w:tc>
      </w:tr>
      <w:tr w14:paraId="2DC8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BC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2023年度）</w:t>
            </w:r>
          </w:p>
        </w:tc>
      </w:tr>
      <w:tr w14:paraId="53CA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3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2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4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2023年省级文化产业发展专项资金</w:t>
            </w:r>
          </w:p>
        </w:tc>
      </w:tr>
      <w:tr w14:paraId="5863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3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1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F60FB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A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区委宣传部</w:t>
            </w:r>
          </w:p>
        </w:tc>
      </w:tr>
      <w:tr w14:paraId="66D8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0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B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2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实施期资金总额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45F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3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6AE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0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76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7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8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6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E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AA1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98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F7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其他资金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EDE2E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0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其他资金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A8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4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4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实施期总目标</w:t>
            </w:r>
          </w:p>
        </w:tc>
        <w:tc>
          <w:tcPr>
            <w:tcW w:w="3572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A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 w14:paraId="613A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4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08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A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目标：带动城市更新，推进城市复兴</w:t>
            </w:r>
          </w:p>
        </w:tc>
        <w:tc>
          <w:tcPr>
            <w:tcW w:w="35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1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目标：带动城市更新，推进城市复兴</w:t>
            </w:r>
          </w:p>
        </w:tc>
      </w:tr>
      <w:tr w14:paraId="00BD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9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4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E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8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D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531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35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E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2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E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亚克力文化墙及灯箱装饰安装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1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13.0404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00A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F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42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65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F0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1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安装天幕亮化设施设备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1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9162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7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6B6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E7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73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E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购置唐妞装饰形象雕塑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F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F58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F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62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C8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63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二楼街区3D墙面彩绘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D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63.897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141F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8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EE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AE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AF8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3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文化活动、宣传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3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46.1626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4DD2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C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42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4D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0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工程质量验收合格率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A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C2F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2C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93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6C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7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CC51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4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24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24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0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3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按期完成，达到正常使用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A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2022年4月-2023年10月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12C4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0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A4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63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A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E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控制在预算内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5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7920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9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7F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B2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6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企业营收增长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4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92F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2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E3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7F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53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8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企业纳税增长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4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增长明显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9526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1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D6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73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6E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F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企业利润增长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1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95BB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0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95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45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F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3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带动周边人员就业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每年500-800人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9323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9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AF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92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E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增加室内文化休闲娱乐场所，形成夜间经济聚集区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7A06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1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7C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98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运营周期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C367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6A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59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C6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BE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B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文化创新发展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F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5347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1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EF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0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9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市民及顾客满意度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FF4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D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29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备注：项目名称指专项资金（政策）、部门预算专项业务费名称；</w:t>
            </w:r>
          </w:p>
        </w:tc>
      </w:tr>
    </w:tbl>
    <w:p w14:paraId="222FB4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B7A5C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7A38518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 w14:paraId="3DFFA4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2023年省级文化产业发展专项资金得分表</w:t>
      </w:r>
    </w:p>
    <w:p w14:paraId="2BB29D2A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9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8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70"/>
        <w:gridCol w:w="1270"/>
        <w:gridCol w:w="2420"/>
        <w:gridCol w:w="960"/>
        <w:gridCol w:w="1100"/>
      </w:tblGrid>
      <w:tr w14:paraId="2348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940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14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立项程序规范性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23BF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A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2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2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绩效目标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绩效目标合理性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3DE9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绩效指标明确性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727D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8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5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资金投入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预算编制科学合理性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 w14:paraId="2E31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资金分配合理性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A3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3E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过程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36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F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资金管理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资金到位率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344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3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8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预算执行率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BC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资金使用合规性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 w14:paraId="1DB6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9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2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组织实施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管理制度健全性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629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制度执行有效性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 w14:paraId="1C50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4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成本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D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经济成本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单位成本节约率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021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社会发展负作用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790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1B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2F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F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生态环境成本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自然生态环境负作用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366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产出数量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项目数量目标完成情况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3986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产出质量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项目质量目标完成情况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12A9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产出时效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项目按期完成情况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27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企业营收完成情况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51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企业纳税完成情况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4767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4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带动就业完成情况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F47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形成文娱休闲消费聚集区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09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3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促进经济高质量发展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A2F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节能、生态效益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39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市民及顾客满意度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0B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项目收益人满意度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</w:tr>
      <w:tr w14:paraId="58FB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245"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A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 sum(E2:E26)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 SUM(F2:F26)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90.5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</w:tr>
    </w:tbl>
    <w:p w14:paraId="2EF3F9F9">
      <w:pPr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21"/>
          <w:szCs w:val="21"/>
        </w:rPr>
      </w:pPr>
    </w:p>
    <w:p w14:paraId="13206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0711E"/>
    <w:multiLevelType w:val="singleLevel"/>
    <w:tmpl w:val="9690711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684B18C8"/>
    <w:rsid w:val="02100BBE"/>
    <w:rsid w:val="02A36C44"/>
    <w:rsid w:val="06B562C6"/>
    <w:rsid w:val="09542264"/>
    <w:rsid w:val="0ADE7124"/>
    <w:rsid w:val="0C574FFB"/>
    <w:rsid w:val="10861954"/>
    <w:rsid w:val="12E34E3B"/>
    <w:rsid w:val="13AC16D1"/>
    <w:rsid w:val="158226E9"/>
    <w:rsid w:val="19035F1E"/>
    <w:rsid w:val="19AD7F51"/>
    <w:rsid w:val="1AD35C1D"/>
    <w:rsid w:val="1C492B76"/>
    <w:rsid w:val="29471828"/>
    <w:rsid w:val="2C3818FC"/>
    <w:rsid w:val="2D5269EE"/>
    <w:rsid w:val="2E864BA1"/>
    <w:rsid w:val="30CB0F91"/>
    <w:rsid w:val="32081D71"/>
    <w:rsid w:val="32454D73"/>
    <w:rsid w:val="33603E37"/>
    <w:rsid w:val="33C85C5B"/>
    <w:rsid w:val="351D5B33"/>
    <w:rsid w:val="389B749B"/>
    <w:rsid w:val="395B4E7C"/>
    <w:rsid w:val="3B81640A"/>
    <w:rsid w:val="43F136A4"/>
    <w:rsid w:val="4AAC43DC"/>
    <w:rsid w:val="51DA6E2E"/>
    <w:rsid w:val="52B07B8F"/>
    <w:rsid w:val="604C3D1B"/>
    <w:rsid w:val="62D90A3C"/>
    <w:rsid w:val="63D37616"/>
    <w:rsid w:val="684B18C8"/>
    <w:rsid w:val="6ACE6738"/>
    <w:rsid w:val="6D8812EF"/>
    <w:rsid w:val="6E2039C3"/>
    <w:rsid w:val="6FEE1FCA"/>
    <w:rsid w:val="73B14339"/>
    <w:rsid w:val="77561369"/>
    <w:rsid w:val="7AE42B0A"/>
    <w:rsid w:val="7AE52590"/>
    <w:rsid w:val="7BBF481B"/>
    <w:rsid w:val="7BD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21"/>
    <w:basedOn w:val="9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4685</Words>
  <Characters>4950</Characters>
  <Lines>0</Lines>
  <Paragraphs>0</Paragraphs>
  <TotalTime>0</TotalTime>
  <ScaleCrop>false</ScaleCrop>
  <LinksUpToDate>false</LinksUpToDate>
  <CharactersWithSpaces>4992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2024-07-11T02:19:00Z</dcterms:created>
  <dc:creator>汭宴</dc:creator>
  <cp:lastModifiedBy>小幸福！</cp:lastModifiedBy>
  <dcterms:modified xsi:type="dcterms:W3CDTF">2024-09-03T06:45:55Z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4140531B9B5C4188890EBEA2DCEA7FC3_11</vt:lpwstr>
  </property>
</Properties>
</file>