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2100"/>
        </w:tabs>
        <w:spacing w:line="560" w:lineRule="exact"/>
        <w:jc w:val="center"/>
        <w:rPr>
          <w:rFonts w:hint="eastAsia" w:ascii="黑体" w:hAnsi="黑体" w:eastAsia="黑体" w:cs="黑体"/>
          <w:b w:val="0"/>
          <w:bCs w:val="0"/>
          <w:sz w:val="48"/>
          <w:szCs w:val="48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48"/>
          <w:szCs w:val="48"/>
          <w:lang w:eastAsia="zh-CN"/>
        </w:rPr>
        <w:t>202</w:t>
      </w:r>
      <w:r>
        <w:rPr>
          <w:rFonts w:hint="eastAsia" w:ascii="黑体" w:hAnsi="黑体" w:eastAsia="黑体" w:cs="黑体"/>
          <w:b w:val="0"/>
          <w:bCs w:val="0"/>
          <w:sz w:val="48"/>
          <w:szCs w:val="48"/>
          <w:lang w:val="en-US" w:eastAsia="zh-CN"/>
        </w:rPr>
        <w:t>4</w:t>
      </w:r>
      <w:r>
        <w:rPr>
          <w:rFonts w:hint="eastAsia" w:ascii="黑体" w:hAnsi="黑体" w:eastAsia="黑体" w:cs="黑体"/>
          <w:b w:val="0"/>
          <w:bCs w:val="0"/>
          <w:sz w:val="48"/>
          <w:szCs w:val="48"/>
          <w:lang w:eastAsia="zh-CN"/>
        </w:rPr>
        <w:t>年</w:t>
      </w:r>
      <w:r>
        <w:rPr>
          <w:rFonts w:hint="eastAsia" w:ascii="黑体" w:hAnsi="黑体" w:eastAsia="黑体" w:cs="黑体"/>
          <w:b w:val="0"/>
          <w:bCs w:val="0"/>
          <w:sz w:val="48"/>
          <w:szCs w:val="48"/>
          <w:lang w:val="en-US" w:eastAsia="zh-CN"/>
        </w:rPr>
        <w:t>金台区陵原供水改造工程</w:t>
      </w:r>
    </w:p>
    <w:p>
      <w:pPr>
        <w:tabs>
          <w:tab w:val="left" w:pos="2100"/>
        </w:tabs>
        <w:spacing w:line="560" w:lineRule="exact"/>
        <w:jc w:val="center"/>
        <w:rPr>
          <w:rFonts w:hint="eastAsia" w:ascii="黑体" w:hAnsi="黑体" w:eastAsia="黑体" w:cs="黑体"/>
          <w:b w:val="0"/>
          <w:bCs w:val="0"/>
          <w:sz w:val="48"/>
          <w:szCs w:val="48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48"/>
          <w:szCs w:val="48"/>
          <w:lang w:eastAsia="zh-CN"/>
        </w:rPr>
        <w:t>事中</w:t>
      </w:r>
      <w:r>
        <w:rPr>
          <w:rFonts w:hint="eastAsia" w:ascii="黑体" w:hAnsi="黑体" w:eastAsia="黑体" w:cs="黑体"/>
          <w:b w:val="0"/>
          <w:bCs w:val="0"/>
          <w:sz w:val="48"/>
          <w:szCs w:val="48"/>
          <w:lang w:val="en-US" w:eastAsia="zh-CN"/>
        </w:rPr>
        <w:t>绩效</w:t>
      </w:r>
      <w:r>
        <w:rPr>
          <w:rFonts w:hint="eastAsia" w:ascii="黑体" w:hAnsi="黑体" w:eastAsia="黑体" w:cs="黑体"/>
          <w:b w:val="0"/>
          <w:bCs w:val="0"/>
          <w:sz w:val="48"/>
          <w:szCs w:val="48"/>
          <w:lang w:eastAsia="zh-CN"/>
        </w:rPr>
        <w:t>监控报告</w:t>
      </w:r>
    </w:p>
    <w:p>
      <w:pPr>
        <w:jc w:val="left"/>
        <w:rPr>
          <w:rFonts w:hint="eastAsia" w:ascii="仿宋" w:hAnsi="仿宋" w:eastAsia="仿宋" w:cs="仿宋"/>
          <w:b w:val="0"/>
          <w:bCs w:val="0"/>
          <w:color w:val="0000FF"/>
          <w:szCs w:val="21"/>
        </w:rPr>
      </w:pP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color w:val="333333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为提高财政资金使用效益,加快财政预算支出进度，根据《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金台区预算绩效运行监控管理暂行办法</w:t>
      </w:r>
      <w:r>
        <w:rPr>
          <w:rFonts w:hint="eastAsia" w:ascii="仿宋" w:hAnsi="仿宋" w:eastAsia="仿宋" w:cs="仿宋"/>
          <w:kern w:val="0"/>
          <w:sz w:val="32"/>
          <w:szCs w:val="32"/>
        </w:rPr>
        <w:t>》（宝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金财</w:t>
      </w:r>
      <w:r>
        <w:rPr>
          <w:rFonts w:hint="eastAsia" w:ascii="仿宋" w:hAnsi="仿宋" w:eastAsia="仿宋" w:cs="仿宋"/>
          <w:kern w:val="0"/>
          <w:sz w:val="32"/>
          <w:szCs w:val="32"/>
        </w:rPr>
        <w:t>〔202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kern w:val="0"/>
          <w:sz w:val="32"/>
          <w:szCs w:val="32"/>
        </w:rPr>
        <w:t>〕1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kern w:val="0"/>
          <w:sz w:val="32"/>
          <w:szCs w:val="32"/>
        </w:rPr>
        <w:t>号）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金台区财政局</w:t>
      </w:r>
      <w:r>
        <w:rPr>
          <w:rFonts w:hint="eastAsia" w:ascii="仿宋" w:hAnsi="仿宋" w:eastAsia="仿宋" w:cs="仿宋"/>
          <w:kern w:val="0"/>
          <w:sz w:val="32"/>
          <w:szCs w:val="32"/>
        </w:rPr>
        <w:t>《关于开展202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kern w:val="0"/>
          <w:sz w:val="32"/>
          <w:szCs w:val="32"/>
        </w:rPr>
        <w:t>年度事中绩效监控工作的通知》（宝金财〔202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kern w:val="0"/>
          <w:sz w:val="32"/>
          <w:szCs w:val="32"/>
        </w:rPr>
        <w:t>〕5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kern w:val="0"/>
          <w:sz w:val="32"/>
          <w:szCs w:val="32"/>
        </w:rPr>
        <w:t>号）相关文件精神，遵循科学性、规范性、客观性、公正性的原则，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区财政局</w:t>
      </w:r>
      <w:r>
        <w:rPr>
          <w:rFonts w:hint="eastAsia" w:ascii="仿宋" w:hAnsi="仿宋" w:eastAsia="仿宋" w:cs="仿宋"/>
          <w:kern w:val="0"/>
          <w:sz w:val="32"/>
          <w:szCs w:val="32"/>
          <w:lang w:val="zh-CN"/>
        </w:rPr>
        <w:t>成立绩效评价工作组</w:t>
      </w:r>
      <w:r>
        <w:rPr>
          <w:rFonts w:hint="eastAsia" w:ascii="仿宋" w:hAnsi="仿宋" w:eastAsia="仿宋" w:cs="仿宋"/>
          <w:kern w:val="0"/>
          <w:sz w:val="32"/>
          <w:szCs w:val="32"/>
        </w:rPr>
        <w:t>，采取现场座谈交流、查阅相关资料、查询账务系统等方式，对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2024年金台区陵原供水改造工程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项目</w:t>
      </w:r>
      <w:r>
        <w:rPr>
          <w:rFonts w:hint="eastAsia" w:ascii="仿宋" w:hAnsi="仿宋" w:eastAsia="仿宋" w:cs="仿宋"/>
          <w:kern w:val="0"/>
          <w:sz w:val="32"/>
          <w:szCs w:val="32"/>
        </w:rPr>
        <w:t>绩效目标实现程度和预算执行进度进行“双监控”，现将监控情况报告如下：</w:t>
      </w:r>
    </w:p>
    <w:p>
      <w:pPr>
        <w:pStyle w:val="30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8" w:beforeLines="50" w:after="158" w:afterLines="50" w:line="560" w:lineRule="exact"/>
        <w:ind w:firstLine="640" w:firstLineChars="200"/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lang w:eastAsia="zh-CN"/>
        </w:rPr>
        <w:t>项目</w:t>
      </w: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lang w:val="en-US" w:eastAsia="zh-CN"/>
        </w:rPr>
        <w:t>基本情况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项目名称：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2024年金台区陵原供水改造工程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项目实施单位：金台区水利水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保工作站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</w:t>
      </w:r>
      <w:r>
        <w:rPr>
          <w:rFonts w:hint="eastAsia" w:ascii="仿宋" w:hAnsi="仿宋" w:eastAsia="仿宋" w:cs="仿宋"/>
          <w:sz w:val="32"/>
          <w:szCs w:val="32"/>
        </w:rPr>
        <w:t>项目预算：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202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年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月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日，宝鸡市金台区财政局《关于下达202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年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eastAsia="zh-CN"/>
        </w:rPr>
        <w:t>区级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财政衔接推进乡村振兴补助资金预算指标的通知》（宝金财农〔202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〕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2号）下达该项目建设预算资金1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97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.00万元。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</w:t>
      </w:r>
      <w:r>
        <w:rPr>
          <w:rFonts w:hint="eastAsia" w:ascii="仿宋" w:hAnsi="仿宋" w:eastAsia="仿宋" w:cs="仿宋"/>
          <w:sz w:val="32"/>
          <w:szCs w:val="32"/>
        </w:rPr>
        <w:t>主要内容：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对大口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eastAsia="zh-CN"/>
        </w:rPr>
        <w:t>井、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清水池、加药系统、消毒系统、自动化系统及供水工艺等提出了具体的提质改造方案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持续优化农村供水水平，推进标准化水厂建设，缩小城乡供水差距，实现农村供水与城镇供水同质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eastAsia="zh-CN"/>
        </w:rPr>
        <w:t>、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同标满足。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</w:t>
      </w:r>
      <w:r>
        <w:rPr>
          <w:rFonts w:hint="eastAsia" w:ascii="仿宋" w:hAnsi="仿宋" w:eastAsia="仿宋" w:cs="仿宋"/>
          <w:sz w:val="32"/>
          <w:szCs w:val="32"/>
        </w:rPr>
        <w:t>项目目的：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通过项目实施，对保障项目村内群众饮水安全、推动乡村振兴发展和提高广大人民群众获得感、幸福感具有积极的意义。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8" w:beforeLines="50" w:after="158" w:afterLines="50" w:line="560" w:lineRule="exact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绩效监控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工作开展情况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（一）监控目的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</w:rPr>
        <w:t>对照绩效目标，检查绩效运行是否发生偏</w:t>
      </w:r>
      <w:r>
        <w:rPr>
          <w:rFonts w:hint="eastAsia" w:ascii="仿宋_GB2312" w:hAnsi="仿宋" w:eastAsia="仿宋_GB2312"/>
          <w:sz w:val="32"/>
          <w:szCs w:val="32"/>
        </w:rPr>
        <w:t>离，绩效目标完成情况是否与预期相符。及时预警并分析偏差原因，促进绩效目标的实现。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（二）监控方法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  <w:highlight w:val="none"/>
        </w:rPr>
      </w:pPr>
      <w:r>
        <w:rPr>
          <w:rFonts w:hint="eastAsia" w:ascii="仿宋_GB2312" w:hAnsi="仿宋" w:eastAsia="仿宋_GB2312"/>
          <w:sz w:val="32"/>
          <w:szCs w:val="32"/>
          <w:highlight w:val="none"/>
        </w:rPr>
        <w:t>在项目单位自我监控管理的基础上，评价组采取听取汇报、实地查看、账务核对、调取资料等方式，跟踪项目实施进度、预算执行进度和绩效目标实现程度。采用目标比较法、定量分析和定性分析相结合等方式方法，将绩效实现情况与预期绩效目标进行比较，得出具体执行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（三）绩效监控的局限性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highlight w:val="none"/>
        </w:rPr>
        <w:t>尽管评价组在评价中力求科学性、规范性、客观性和公正性，但在实际评价过程中依然存在局限性：一是由于评价时间、人力等限制，加之项目线长、面较广，获取数据与信息来源存在局限性；二是评价工作人员知识面、经验等限制，在理解和判断上存在认知局限性</w:t>
      </w:r>
      <w:r>
        <w:rPr>
          <w:rFonts w:hint="eastAsia" w:ascii="仿宋_GB2312" w:hAnsi="仿宋" w:eastAsia="仿宋_GB2312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8" w:beforeLines="50" w:after="158" w:afterLines="50" w:line="560" w:lineRule="exact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、绩效监控分析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（一）项目实施进度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</w:rPr>
        <w:t>金台区水利水保工作站于202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" w:eastAsia="仿宋_GB2312"/>
          <w:sz w:val="32"/>
          <w:szCs w:val="32"/>
        </w:rPr>
        <w:t>年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10</w:t>
      </w:r>
      <w:r>
        <w:rPr>
          <w:rFonts w:hint="eastAsia" w:ascii="仿宋_GB2312" w:hAnsi="仿宋" w:eastAsia="仿宋_GB2312"/>
          <w:sz w:val="32"/>
          <w:szCs w:val="32"/>
        </w:rPr>
        <w:t>月，委托陕西雨泽水利水电设计有限公司编制了《</w:t>
      </w:r>
      <w:r>
        <w:rPr>
          <w:rFonts w:hint="eastAsia" w:ascii="仿宋_GB2312" w:hAnsi="仿宋_GB2312" w:eastAsia="仿宋_GB2312" w:cs="仿宋_GB2312"/>
          <w:spacing w:val="-6"/>
          <w:sz w:val="32"/>
          <w:szCs w:val="32"/>
        </w:rPr>
        <w:t>金台区</w:t>
      </w:r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eastAsia="zh-CN"/>
        </w:rPr>
        <w:t>陵原集中供水水厂提升改造工程</w:t>
      </w:r>
      <w:r>
        <w:rPr>
          <w:rFonts w:hint="eastAsia" w:ascii="仿宋_GB2312" w:hAnsi="仿宋" w:eastAsia="仿宋_GB2312"/>
          <w:sz w:val="32"/>
          <w:szCs w:val="32"/>
        </w:rPr>
        <w:t>实施方案》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。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2024年4月2日，宝鸡市金台区乡村振兴局及金台区财政局联合以（宝金乡振发〔2024〕8号）文件明确了项目并下达了资金计划；2024年2月20日，金台区水利局以宝金水批〔2024〕1号文件批复了《</w:t>
      </w:r>
      <w:r>
        <w:rPr>
          <w:rFonts w:hint="eastAsia" w:ascii="仿宋_GB2312" w:hAnsi="仿宋_GB2312" w:eastAsia="仿宋_GB2312" w:cs="仿宋_GB2312"/>
          <w:spacing w:val="-6"/>
          <w:sz w:val="32"/>
          <w:szCs w:val="32"/>
        </w:rPr>
        <w:t>金台区</w:t>
      </w:r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eastAsia="zh-CN"/>
        </w:rPr>
        <w:t>陵原集中供水水厂提升改造工程</w:t>
      </w:r>
      <w:r>
        <w:rPr>
          <w:rFonts w:hint="eastAsia" w:ascii="仿宋_GB2312" w:hAnsi="仿宋" w:eastAsia="仿宋_GB2312"/>
          <w:sz w:val="32"/>
          <w:szCs w:val="32"/>
        </w:rPr>
        <w:t>实施方案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》；2024年5月21日项目实施单位完成了工程招标工作，2024年5月26日与工程监理单位（中智投工程管理有限公司）、工程施工单位（陕西浩成建筑装饰工程有限公司）及第三方检测单位（陕西恒旺工程检测有限公司）签订监理、建设及检测合同，并确定宝鸡市水利工程质量监督站为工程质量监督单位，随后开工建设。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经过2个多月的实施，目前完成的工程量有：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rPr>
          <w:rFonts w:hint="default" w:ascii="仿宋_GB2312" w:hAnsi="仿宋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highlight w:val="none"/>
          <w:lang w:val="en-US" w:eastAsia="zh-CN"/>
        </w:rPr>
        <w:t>（1）更换供水管网总长</w:t>
      </w:r>
      <w:r>
        <w:rPr>
          <w:rFonts w:hint="eastAsia" w:ascii="仿宋_GB2312" w:hAnsi="仿宋" w:eastAsia="仿宋_GB2312" w:cs="宋体"/>
          <w:kern w:val="0"/>
          <w:sz w:val="32"/>
          <w:szCs w:val="32"/>
          <w:highlight w:val="none"/>
          <w:lang w:val="en-US" w:eastAsia="zh-CN"/>
        </w:rPr>
        <w:t>137米，3:7灰土回填97立方米,C15砼垫层9.5立方米,M7.5浆砌石墙235立方米,砂砾料回填23立方米,土方回填30立方米,屋面防水198平方米。</w:t>
      </w:r>
    </w:p>
    <w:p>
      <w:pPr>
        <w:pStyle w:val="29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rPr>
          <w:rFonts w:hint="default" w:ascii="仿宋_GB2312" w:hAnsi="仿宋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highlight w:val="none"/>
          <w:lang w:val="en-US" w:eastAsia="zh-CN"/>
        </w:rPr>
        <w:t>（2）新修平流式隔板反应沉淀池</w:t>
      </w:r>
      <w:r>
        <w:rPr>
          <w:rFonts w:hint="eastAsia" w:ascii="仿宋_GB2312" w:hAnsi="仿宋" w:eastAsia="仿宋_GB2312" w:cs="宋体"/>
          <w:kern w:val="0"/>
          <w:sz w:val="32"/>
          <w:szCs w:val="32"/>
          <w:highlight w:val="none"/>
          <w:lang w:val="en-US" w:eastAsia="zh-CN"/>
        </w:rPr>
        <w:t>1座，安装不锈钢护栏40米，宿办间、厂区围墙外立面真石漆喷绘工程。</w:t>
      </w:r>
    </w:p>
    <w:p>
      <w:pPr>
        <w:pStyle w:val="29"/>
        <w:spacing w:before="0" w:beforeAutospacing="0" w:after="0" w:afterAutospacing="0" w:line="560" w:lineRule="exact"/>
        <w:ind w:firstLine="640" w:firstLineChars="200"/>
        <w:rPr>
          <w:rFonts w:hint="eastAsia" w:ascii="仿宋_GB2312" w:hAnsi="仿宋" w:eastAsia="仿宋_GB2312" w:cs="宋体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" w:eastAsia="仿宋_GB2312"/>
          <w:sz w:val="32"/>
          <w:szCs w:val="32"/>
          <w:highlight w:val="none"/>
          <w:lang w:val="en-US" w:eastAsia="zh-CN"/>
        </w:rPr>
        <w:t>（3）</w:t>
      </w:r>
      <w:r>
        <w:rPr>
          <w:rFonts w:hint="eastAsia" w:ascii="仿宋_GB2312" w:hAnsi="仿宋" w:eastAsia="仿宋_GB2312" w:cs="宋体"/>
          <w:kern w:val="0"/>
          <w:sz w:val="32"/>
          <w:szCs w:val="32"/>
          <w:highlight w:val="none"/>
          <w:lang w:val="en-US" w:eastAsia="zh-CN"/>
        </w:rPr>
        <w:t>清洗大口井1处、蓄水池1座，新建平流式隔板反应沉淀池1座，安装不锈钢护栏40米，宿办间、厂区围墙外立面真石漆喷绘工程。</w:t>
      </w:r>
    </w:p>
    <w:p>
      <w:pPr>
        <w:pStyle w:val="29"/>
        <w:spacing w:before="0" w:beforeAutospacing="0" w:after="0" w:afterAutospacing="0" w:line="560" w:lineRule="exact"/>
        <w:ind w:firstLine="640" w:firstLineChars="200"/>
        <w:rPr>
          <w:rFonts w:hint="default" w:ascii="仿宋_GB2312" w:hAnsi="仿宋" w:eastAsia="仿宋_GB2312" w:cs="宋体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  <w:highlight w:val="none"/>
          <w:lang w:val="en-US" w:eastAsia="zh-CN"/>
        </w:rPr>
        <w:t>截至评价日，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项目进度完成率80%。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（二）预算执行进度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textAlignment w:val="auto"/>
        <w:rPr>
          <w:rFonts w:hint="default" w:ascii="仿宋_GB2312" w:hAnsi="仿宋" w:eastAsia="仿宋_GB2312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 w:bidi="ar-SA"/>
        </w:rPr>
        <w:t>1.预算资金到位情况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textAlignment w:val="auto"/>
        <w:rPr>
          <w:rFonts w:hint="default" w:ascii="仿宋_GB2312" w:hAnsi="仿宋" w:eastAsia="仿宋_GB2312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 w:bidi="ar-SA"/>
        </w:rPr>
        <w:t>2024年4月2日，金台区财政局已将专项资金197.00万元下达到项目单位。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textAlignment w:val="auto"/>
        <w:rPr>
          <w:rFonts w:hint="default" w:ascii="仿宋_GB2312" w:hAnsi="仿宋" w:eastAsia="仿宋_GB2312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 w:bidi="ar-SA"/>
        </w:rPr>
        <w:t>2.预算执行情况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textAlignment w:val="auto"/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 w:bidi="ar-SA"/>
        </w:rPr>
        <w:t>截至目前，项目单位支付工程款153.9050万元，占中标合同价（196.35万元）的78.38%。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rPr>
          <w:rFonts w:hint="eastAsia" w:ascii="仿宋_GB2312" w:hAnsi="仿宋_GB2312" w:eastAsia="仿宋_GB2312" w:cs="仿宋_GB2312"/>
          <w:spacing w:val="-6"/>
          <w:sz w:val="36"/>
          <w:szCs w:val="36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</w:rPr>
        <w:t>表1   项目到位资金及执行情况表</w:t>
      </w:r>
      <w:r>
        <w:rPr>
          <w:rFonts w:hint="eastAsia" w:ascii="仿宋_GB2312" w:hAnsi="仿宋_GB2312" w:eastAsia="仿宋_GB2312" w:cs="仿宋_GB2312"/>
          <w:spacing w:val="-6"/>
          <w:sz w:val="28"/>
          <w:szCs w:val="28"/>
        </w:rPr>
        <w:t xml:space="preserve">   </w:t>
      </w:r>
      <w:r>
        <w:rPr>
          <w:rFonts w:hint="eastAsia" w:ascii="仿宋_GB2312" w:hAnsi="仿宋_GB2312" w:eastAsia="仿宋_GB2312" w:cs="仿宋_GB2312"/>
          <w:spacing w:val="-6"/>
          <w:sz w:val="24"/>
          <w:szCs w:val="24"/>
        </w:rPr>
        <w:t>单位：万元</w:t>
      </w:r>
    </w:p>
    <w:tbl>
      <w:tblPr>
        <w:tblStyle w:val="1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3"/>
        <w:gridCol w:w="1622"/>
        <w:gridCol w:w="1451"/>
        <w:gridCol w:w="1454"/>
        <w:gridCol w:w="1070"/>
        <w:gridCol w:w="1262"/>
        <w:gridCol w:w="12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713" w:type="dxa"/>
            <w:tcBorders>
              <w:left w:val="nil"/>
            </w:tcBorders>
            <w:shd w:val="clear" w:color="auto" w:fill="D7D7D7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ascii="仿宋_GB2312" w:hAnsi="仿宋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1622" w:type="dxa"/>
            <w:shd w:val="clear" w:color="auto" w:fill="D7D7D7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ascii="仿宋_GB2312" w:hAnsi="仿宋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kern w:val="0"/>
                <w:sz w:val="24"/>
              </w:rPr>
              <w:t>预算资金</w:t>
            </w:r>
          </w:p>
        </w:tc>
        <w:tc>
          <w:tcPr>
            <w:tcW w:w="1451" w:type="dxa"/>
            <w:shd w:val="clear" w:color="auto" w:fill="D7D7D7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ascii="仿宋_GB2312" w:hAnsi="仿宋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kern w:val="0"/>
                <w:sz w:val="24"/>
              </w:rPr>
              <w:t>到位资金</w:t>
            </w:r>
          </w:p>
        </w:tc>
        <w:tc>
          <w:tcPr>
            <w:tcW w:w="1454" w:type="dxa"/>
            <w:shd w:val="clear" w:color="auto" w:fill="D7D7D7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ascii="仿宋_GB2312" w:hAnsi="仿宋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kern w:val="0"/>
                <w:sz w:val="24"/>
              </w:rPr>
              <w:t>支出资金</w:t>
            </w:r>
          </w:p>
        </w:tc>
        <w:tc>
          <w:tcPr>
            <w:tcW w:w="1070" w:type="dxa"/>
            <w:shd w:val="clear" w:color="auto" w:fill="D7D7D7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hint="eastAsia" w:ascii="仿宋_GB2312" w:hAnsi="仿宋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kern w:val="0"/>
                <w:sz w:val="24"/>
              </w:rPr>
              <w:t>资金</w:t>
            </w:r>
          </w:p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ascii="仿宋_GB2312" w:hAnsi="仿宋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kern w:val="0"/>
                <w:sz w:val="24"/>
              </w:rPr>
              <w:t>到位率</w:t>
            </w:r>
          </w:p>
        </w:tc>
        <w:tc>
          <w:tcPr>
            <w:tcW w:w="1262" w:type="dxa"/>
            <w:shd w:val="clear" w:color="auto" w:fill="D7D7D7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hint="eastAsia" w:ascii="仿宋_GB2312" w:hAnsi="仿宋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kern w:val="0"/>
                <w:sz w:val="24"/>
              </w:rPr>
              <w:t>预算</w:t>
            </w:r>
          </w:p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ascii="仿宋_GB2312" w:hAnsi="仿宋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kern w:val="0"/>
                <w:sz w:val="24"/>
              </w:rPr>
              <w:t>执行率</w:t>
            </w:r>
          </w:p>
        </w:tc>
        <w:tc>
          <w:tcPr>
            <w:tcW w:w="1262" w:type="dxa"/>
            <w:tcBorders>
              <w:right w:val="nil"/>
            </w:tcBorders>
            <w:shd w:val="clear" w:color="auto" w:fill="D7D7D7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ascii="仿宋_GB2312" w:hAnsi="仿宋" w:eastAsia="仿宋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b/>
                <w:bCs/>
                <w:kern w:val="0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713" w:type="dxa"/>
            <w:tcBorders>
              <w:left w:val="nil"/>
            </w:tcBorders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ascii="仿宋_GB2312" w:hAnsi="仿宋" w:eastAsia="仿宋_GB2312" w:cs="宋体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4"/>
              </w:rPr>
              <w:t>1</w:t>
            </w:r>
          </w:p>
        </w:tc>
        <w:tc>
          <w:tcPr>
            <w:tcW w:w="1622" w:type="dxa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ascii="仿宋_GB2312" w:hAnsi="仿宋" w:eastAsia="仿宋_GB2312" w:cs="宋体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4"/>
                <w:lang w:val="en-US" w:eastAsia="zh-CN"/>
              </w:rPr>
              <w:t>197</w:t>
            </w:r>
            <w:r>
              <w:rPr>
                <w:rFonts w:hint="eastAsia" w:ascii="仿宋_GB2312" w:hAnsi="仿宋" w:eastAsia="仿宋_GB2312" w:cs="宋体"/>
                <w:kern w:val="0"/>
                <w:sz w:val="24"/>
              </w:rPr>
              <w:t>.00</w:t>
            </w:r>
          </w:p>
        </w:tc>
        <w:tc>
          <w:tcPr>
            <w:tcW w:w="1451" w:type="dxa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ascii="仿宋_GB2312" w:hAnsi="仿宋" w:eastAsia="仿宋_GB2312" w:cs="宋体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4"/>
                <w:lang w:val="en-US" w:eastAsia="zh-CN"/>
              </w:rPr>
              <w:t>197</w:t>
            </w:r>
            <w:r>
              <w:rPr>
                <w:rFonts w:hint="eastAsia" w:ascii="仿宋_GB2312" w:hAnsi="仿宋" w:eastAsia="仿宋_GB2312" w:cs="宋体"/>
                <w:kern w:val="0"/>
                <w:sz w:val="24"/>
              </w:rPr>
              <w:t>.00</w:t>
            </w:r>
          </w:p>
        </w:tc>
        <w:tc>
          <w:tcPr>
            <w:tcW w:w="1454" w:type="dxa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ascii="仿宋_GB2312" w:hAnsi="仿宋" w:eastAsia="仿宋_GB2312" w:cs="宋体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4"/>
                <w:lang w:val="en-US" w:eastAsia="zh-CN"/>
              </w:rPr>
              <w:t>153.905</w:t>
            </w:r>
          </w:p>
        </w:tc>
        <w:tc>
          <w:tcPr>
            <w:tcW w:w="1070" w:type="dxa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ascii="仿宋_GB2312" w:hAnsi="仿宋" w:eastAsia="仿宋_GB2312" w:cs="宋体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4"/>
              </w:rPr>
              <w:t>100%</w:t>
            </w:r>
          </w:p>
        </w:tc>
        <w:tc>
          <w:tcPr>
            <w:tcW w:w="1262" w:type="dxa"/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ascii="仿宋_GB2312" w:hAnsi="仿宋" w:eastAsia="仿宋_GB2312" w:cs="宋体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4"/>
                <w:lang w:val="en-US" w:eastAsia="zh-CN"/>
              </w:rPr>
              <w:t>78.12</w:t>
            </w:r>
            <w:r>
              <w:rPr>
                <w:rFonts w:hint="eastAsia" w:ascii="仿宋_GB2312" w:hAnsi="仿宋" w:eastAsia="仿宋_GB2312" w:cs="宋体"/>
                <w:kern w:val="0"/>
                <w:sz w:val="24"/>
              </w:rPr>
              <w:t>%</w:t>
            </w:r>
          </w:p>
        </w:tc>
        <w:tc>
          <w:tcPr>
            <w:tcW w:w="1262" w:type="dxa"/>
            <w:tcBorders>
              <w:right w:val="nil"/>
            </w:tcBorders>
            <w:noWrap w:val="0"/>
            <w:vAlign w:val="center"/>
          </w:tcPr>
          <w:p>
            <w:pPr>
              <w:pStyle w:val="5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jc w:val="center"/>
              <w:rPr>
                <w:rFonts w:hint="eastAsia" w:ascii="仿宋_GB2312" w:hAnsi="仿宋" w:eastAsia="仿宋_GB2312" w:cs="宋体"/>
                <w:kern w:val="0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8" w:beforeLines="50" w:line="560" w:lineRule="exact"/>
        <w:ind w:firstLine="643" w:firstLineChars="200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（三）目标实现程度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textAlignment w:val="auto"/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 w:bidi="ar-SA"/>
        </w:rPr>
        <w:t>截至2024年8月20日，金台区陵原集中供水水厂提升改造工程正在紧张施工，已完成项目建设部分内容，具体是：清洗大口井1处、蓄水池1座，新建平流式隔板反应沉淀池1座，安装不锈钢护栏40米，宿办间厂区围墙外立面真石漆喷绘工程，包括更换供水管网总长137米，预计2024年底能全部完成建设目标任务和预算执行计划任务。详见表1。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jc w:val="center"/>
        <w:rPr>
          <w:rFonts w:hint="eastAsia" w:ascii="仿宋" w:hAnsi="仿宋" w:eastAsia="仿宋" w:cs="仿宋"/>
          <w:b/>
          <w:bCs/>
          <w:spacing w:val="15"/>
          <w:sz w:val="31"/>
          <w:szCs w:val="31"/>
        </w:rPr>
      </w:pPr>
      <w:r>
        <w:rPr>
          <w:rFonts w:hint="eastAsia"/>
          <w:sz w:val="28"/>
          <w:szCs w:val="28"/>
        </w:rPr>
        <w:t xml:space="preserve">表1 </w:t>
      </w:r>
      <w:r>
        <w:rPr>
          <w:rFonts w:hint="eastAsia" w:ascii="仿宋" w:hAnsi="仿宋" w:eastAsia="仿宋" w:cs="仿宋"/>
          <w:b/>
          <w:bCs/>
          <w:spacing w:val="15"/>
          <w:sz w:val="31"/>
          <w:szCs w:val="31"/>
        </w:rPr>
        <w:t>金台区</w:t>
      </w:r>
      <w:r>
        <w:rPr>
          <w:rFonts w:hint="eastAsia" w:ascii="仿宋" w:hAnsi="仿宋" w:eastAsia="仿宋" w:cs="仿宋"/>
          <w:b/>
          <w:bCs/>
          <w:spacing w:val="15"/>
          <w:sz w:val="31"/>
          <w:szCs w:val="31"/>
          <w:lang w:eastAsia="zh-CN"/>
        </w:rPr>
        <w:t>陵原集中供水水厂提升改造工程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jc w:val="center"/>
        <w:rPr>
          <w:rFonts w:hint="eastAsia" w:ascii="仿宋" w:hAnsi="仿宋" w:eastAsia="仿宋" w:cs="仿宋"/>
          <w:b/>
          <w:bCs/>
          <w:spacing w:val="15"/>
          <w:sz w:val="31"/>
          <w:szCs w:val="31"/>
        </w:rPr>
      </w:pPr>
      <w:r>
        <w:rPr>
          <w:rFonts w:hint="eastAsia" w:ascii="仿宋" w:hAnsi="仿宋" w:eastAsia="仿宋" w:cs="仿宋"/>
          <w:b/>
          <w:bCs/>
          <w:spacing w:val="15"/>
          <w:sz w:val="31"/>
          <w:szCs w:val="31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/>
          <w:bCs/>
          <w:spacing w:val="15"/>
          <w:sz w:val="31"/>
          <w:szCs w:val="31"/>
        </w:rPr>
        <w:t>主要绩效目标执行情况表</w:t>
      </w:r>
    </w:p>
    <w:tbl>
      <w:tblPr>
        <w:tblStyle w:val="18"/>
        <w:tblW w:w="8802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77"/>
        <w:gridCol w:w="1307"/>
        <w:gridCol w:w="2563"/>
        <w:gridCol w:w="1036"/>
        <w:gridCol w:w="927"/>
        <w:gridCol w:w="1132"/>
        <w:gridCol w:w="944"/>
        <w:gridCol w:w="16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877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D7D7D7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bidi="ar"/>
              </w:rPr>
              <w:t>一级指标</w:t>
            </w:r>
          </w:p>
        </w:tc>
        <w:tc>
          <w:tcPr>
            <w:tcW w:w="130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bidi="ar"/>
              </w:rPr>
              <w:t>二级指标</w:t>
            </w:r>
          </w:p>
        </w:tc>
        <w:tc>
          <w:tcPr>
            <w:tcW w:w="25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bidi="ar"/>
              </w:rPr>
              <w:t>三级指标</w:t>
            </w:r>
          </w:p>
        </w:tc>
        <w:tc>
          <w:tcPr>
            <w:tcW w:w="1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D7D7D7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bidi="ar"/>
              </w:rPr>
              <w:t>年度指标值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D7D7D7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sz w:val="18"/>
                <w:szCs w:val="18"/>
              </w:rPr>
              <w:t>1-8月执行情况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D7D7D7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bidi="ar"/>
              </w:rPr>
              <w:t>202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bidi="ar"/>
              </w:rPr>
              <w:t>年底预计完成情况</w:t>
            </w:r>
          </w:p>
        </w:tc>
        <w:tc>
          <w:tcPr>
            <w:tcW w:w="9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D7D7D7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bidi="ar"/>
              </w:rPr>
              <w:t>完成目标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bidi="ar"/>
              </w:rPr>
              <w:t>可能性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6" w:type="dxa"/>
          <w:trHeight w:val="340" w:hRule="atLeast"/>
          <w:jc w:val="center"/>
        </w:trPr>
        <w:tc>
          <w:tcPr>
            <w:tcW w:w="877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bidi="ar"/>
              </w:rPr>
              <w:t>产出指标</w:t>
            </w:r>
          </w:p>
        </w:tc>
        <w:tc>
          <w:tcPr>
            <w:tcW w:w="130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 w:val="18"/>
                <w:szCs w:val="18"/>
                <w:lang w:bidi="ar"/>
              </w:rPr>
              <w:t>数量指标</w:t>
            </w:r>
          </w:p>
        </w:tc>
        <w:tc>
          <w:tcPr>
            <w:tcW w:w="2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更换供水管网总长（米）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137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137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cs="宋体"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  <w:jc w:val="center"/>
        </w:trPr>
        <w:tc>
          <w:tcPr>
            <w:tcW w:w="87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30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2563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新修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平流式隔板反应沉淀池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（座）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9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7" w:hRule="atLeast"/>
          <w:jc w:val="center"/>
        </w:trPr>
        <w:tc>
          <w:tcPr>
            <w:tcW w:w="87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30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256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清洗大口井、蓄水池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（项）</w:t>
            </w:r>
          </w:p>
        </w:tc>
        <w:tc>
          <w:tcPr>
            <w:tcW w:w="1036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9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  <w:jc w:val="center"/>
        </w:trPr>
        <w:tc>
          <w:tcPr>
            <w:tcW w:w="87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30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质量指标</w:t>
            </w:r>
          </w:p>
        </w:tc>
        <w:tc>
          <w:tcPr>
            <w:tcW w:w="2563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工程完工验收合格率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未验收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9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  <w:jc w:val="center"/>
        </w:trPr>
        <w:tc>
          <w:tcPr>
            <w:tcW w:w="87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307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25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ascii="宋体" w:hAnsi="宋体" w:cs="宋体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供水质量达标率</w:t>
            </w:r>
          </w:p>
        </w:tc>
        <w:tc>
          <w:tcPr>
            <w:tcW w:w="1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100%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val="en-US" w:eastAsia="zh-CN"/>
              </w:rPr>
              <w:t>未验收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100%</w:t>
            </w:r>
          </w:p>
        </w:tc>
        <w:tc>
          <w:tcPr>
            <w:tcW w:w="9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gree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  <w:jc w:val="center"/>
        </w:trPr>
        <w:tc>
          <w:tcPr>
            <w:tcW w:w="87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3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时效指标</w:t>
            </w:r>
          </w:p>
        </w:tc>
        <w:tc>
          <w:tcPr>
            <w:tcW w:w="25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工程及时完工率</w:t>
            </w:r>
          </w:p>
        </w:tc>
        <w:tc>
          <w:tcPr>
            <w:tcW w:w="1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80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%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9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  <w:jc w:val="center"/>
        </w:trPr>
        <w:tc>
          <w:tcPr>
            <w:tcW w:w="87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307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成本指标</w:t>
            </w:r>
          </w:p>
        </w:tc>
        <w:tc>
          <w:tcPr>
            <w:tcW w:w="25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工程投资额（万元）</w:t>
            </w:r>
          </w:p>
        </w:tc>
        <w:tc>
          <w:tcPr>
            <w:tcW w:w="10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≤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197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.00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153.905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≤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197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.00</w:t>
            </w:r>
          </w:p>
        </w:tc>
        <w:tc>
          <w:tcPr>
            <w:tcW w:w="9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  <w:jc w:val="center"/>
        </w:trPr>
        <w:tc>
          <w:tcPr>
            <w:tcW w:w="87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30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256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社会发展负作用</w:t>
            </w:r>
          </w:p>
        </w:tc>
        <w:tc>
          <w:tcPr>
            <w:tcW w:w="1036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9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1" w:hRule="atLeast"/>
          <w:jc w:val="center"/>
        </w:trPr>
        <w:tc>
          <w:tcPr>
            <w:tcW w:w="877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效益指标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经济效益指标</w:t>
            </w:r>
          </w:p>
        </w:tc>
        <w:tc>
          <w:tcPr>
            <w:tcW w:w="2563" w:type="dxa"/>
            <w:tcBorders>
              <w:top w:val="single" w:color="000000" w:sz="4" w:space="0"/>
              <w:left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助力乡村振兴、助推经济发展，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明显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明显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明显</w:t>
            </w:r>
          </w:p>
        </w:tc>
        <w:tc>
          <w:tcPr>
            <w:tcW w:w="9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  <w:jc w:val="center"/>
        </w:trPr>
        <w:tc>
          <w:tcPr>
            <w:tcW w:w="87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社会效益指标</w:t>
            </w:r>
          </w:p>
        </w:tc>
        <w:tc>
          <w:tcPr>
            <w:tcW w:w="2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惠及人口（人）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14727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14727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14727</w:t>
            </w:r>
          </w:p>
        </w:tc>
        <w:tc>
          <w:tcPr>
            <w:tcW w:w="9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  <w:jc w:val="center"/>
        </w:trPr>
        <w:tc>
          <w:tcPr>
            <w:tcW w:w="87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生态效益指标</w:t>
            </w:r>
          </w:p>
        </w:tc>
        <w:tc>
          <w:tcPr>
            <w:tcW w:w="2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持续改善项目区生态居住环境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明显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明显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明显</w:t>
            </w:r>
          </w:p>
        </w:tc>
        <w:tc>
          <w:tcPr>
            <w:tcW w:w="9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7" w:hRule="atLeast"/>
          <w:jc w:val="center"/>
        </w:trPr>
        <w:tc>
          <w:tcPr>
            <w:tcW w:w="877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highlight w:val="none"/>
                <w:lang w:bidi="ar"/>
              </w:rPr>
              <w:t>可持续影响指标</w:t>
            </w:r>
          </w:p>
        </w:tc>
        <w:tc>
          <w:tcPr>
            <w:tcW w:w="25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工程设计使用年限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≥10年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cs="宋体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-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10年</w:t>
            </w:r>
          </w:p>
        </w:tc>
        <w:tc>
          <w:tcPr>
            <w:tcW w:w="9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gree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  <w:jc w:val="center"/>
        </w:trPr>
        <w:tc>
          <w:tcPr>
            <w:tcW w:w="877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满意度指标</w:t>
            </w:r>
          </w:p>
        </w:tc>
        <w:tc>
          <w:tcPr>
            <w:tcW w:w="130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bidi="ar"/>
              </w:rPr>
              <w:t>服务对象满意度指标</w:t>
            </w:r>
          </w:p>
        </w:tc>
        <w:tc>
          <w:tcPr>
            <w:tcW w:w="2563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指标：受益群众满意率</w:t>
            </w:r>
          </w:p>
        </w:tc>
        <w:tc>
          <w:tcPr>
            <w:tcW w:w="1036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≥95%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ascii="宋体" w:hAnsi="宋体" w:cs="宋体"/>
                <w:color w:val="000000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val="en-US" w:eastAsia="zh-CN"/>
              </w:rPr>
              <w:t>95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.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val="en-US" w:eastAsia="zh-CN"/>
              </w:rPr>
              <w:t>08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%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宋体" w:hAnsi="宋体" w:eastAsia="宋体" w:cs="宋体"/>
                <w:color w:val="000000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val="en-US" w:eastAsia="zh-CN"/>
              </w:rPr>
              <w:t>100%</w:t>
            </w:r>
          </w:p>
        </w:tc>
        <w:tc>
          <w:tcPr>
            <w:tcW w:w="9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宋体" w:hAnsi="宋体" w:cs="宋体"/>
                <w:color w:val="00000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18"/>
                <w:szCs w:val="18"/>
              </w:rPr>
              <w:t>√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76" w:line="560" w:lineRule="exact"/>
        <w:ind w:left="692"/>
        <w:rPr>
          <w:rFonts w:ascii="楷体" w:hAnsi="楷体" w:eastAsia="楷体" w:cs="楷体"/>
          <w:b/>
          <w:spacing w:val="20"/>
          <w:sz w:val="31"/>
          <w:szCs w:val="31"/>
        </w:rPr>
      </w:pPr>
      <w:r>
        <w:rPr>
          <w:rFonts w:hint="eastAsia" w:ascii="楷体" w:hAnsi="楷体" w:eastAsia="楷体" w:cs="楷体"/>
          <w:b/>
          <w:spacing w:val="20"/>
          <w:sz w:val="31"/>
          <w:szCs w:val="31"/>
        </w:rPr>
        <w:t>（四）绩效延伸监控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6" w:firstLineChars="201"/>
        <w:outlineLvl w:val="2"/>
        <w:rPr>
          <w:rFonts w:hint="eastAsia" w:ascii="仿宋_GB2312" w:hAnsi="仿宋" w:eastAsia="仿宋_GB2312" w:cs="宋体"/>
          <w:b/>
          <w:kern w:val="0"/>
          <w:sz w:val="32"/>
          <w:szCs w:val="32"/>
        </w:rPr>
      </w:pPr>
      <w:r>
        <w:rPr>
          <w:rFonts w:hint="eastAsia" w:ascii="仿宋_GB2312" w:hAnsi="仿宋" w:eastAsia="仿宋_GB2312" w:cs="宋体"/>
          <w:b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" w:eastAsia="仿宋_GB2312" w:cs="宋体"/>
          <w:b/>
          <w:kern w:val="0"/>
          <w:sz w:val="32"/>
          <w:szCs w:val="32"/>
        </w:rPr>
        <w:t>.项目建成后该村水源及保障供应情况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40" w:firstLineChars="200"/>
        <w:textAlignment w:val="auto"/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 w:bidi="ar-SA"/>
        </w:rPr>
        <w:t>从本次项目事中绩效监控情况看，该工程原有大口井及清水池清洗1处、新建隔板反应沉淀池1座，水厂改造（含净水设备、自动化、加药设备、建筑物等）1处。对大口井、清水池、加药系统、消毒系统、自动化系统及供水工艺等提出了具体的提质改造方案，持续优化农村供水水平，推进标准化水厂建设，缩小城乡供水差距，实现农村供水与城镇供水同质、同标满足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" w:eastAsia="仿宋_GB2312" w:cs="宋体"/>
          <w:b/>
          <w:sz w:val="32"/>
          <w:szCs w:val="32"/>
          <w:highlight w:val="none"/>
        </w:rPr>
      </w:pPr>
      <w:r>
        <w:rPr>
          <w:rFonts w:hint="eastAsia" w:ascii="仿宋_GB2312" w:hAnsi="仿宋" w:eastAsia="仿宋_GB2312" w:cs="宋体"/>
          <w:b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" w:eastAsia="仿宋_GB2312" w:cs="宋体"/>
          <w:b/>
          <w:sz w:val="32"/>
          <w:szCs w:val="32"/>
          <w:highlight w:val="none"/>
        </w:rPr>
        <w:t>.项目用户使用情况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</w:rPr>
        <w:t>根据本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eastAsia="zh-CN"/>
        </w:rPr>
        <w:t>次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事中绩效监控组人员深入农户家庭和问卷调查结果显示，已安装的供水管网运行良好，水质及出水量稳定，群众普遍对项目实施给予了大力支持，以及充分肯定和高度赞誉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eastAsia="zh-CN"/>
        </w:rPr>
        <w:t>，群众要求对工程加强后期运行管护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8" w:beforeLines="50" w:after="158" w:afterLines="50" w:line="560" w:lineRule="exact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四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、绩效监控结论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4" w:right="16" w:firstLine="643"/>
        <w:rPr>
          <w:rFonts w:hint="eastAsia"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金台区水利水保工作站组织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实施的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金台区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  <w:lang w:eastAsia="zh-CN"/>
        </w:rPr>
        <w:t>陵原集中供水水厂提升改造工程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，资金安排符合国家相关政策和法律法规规定，符合金台区经济社会发展需要，属于重大民生工程，立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项依据充分、财政预算资金安排合理、拨付到位及时，项目进展顺利，项目线长、工程量较大、受益人数多，预期社会效益、经济效益、生态效益、可持续发展影响好。但项目管理还存在一些不足，绩效管理</w:t>
      </w:r>
      <w:r>
        <w:rPr>
          <w:rFonts w:hint="eastAsia" w:ascii="仿宋_GB2312" w:hAnsi="仿宋" w:eastAsia="仿宋_GB2312" w:cs="宋体"/>
          <w:kern w:val="0"/>
          <w:sz w:val="32"/>
          <w:szCs w:val="32"/>
          <w:highlight w:val="none"/>
        </w:rPr>
        <w:t>工作有</w:t>
      </w:r>
      <w:r>
        <w:rPr>
          <w:rFonts w:hint="eastAsia" w:ascii="仿宋_GB2312" w:hAnsi="仿宋" w:eastAsia="仿宋_GB2312" w:cs="宋体"/>
          <w:kern w:val="0"/>
          <w:sz w:val="32"/>
          <w:szCs w:val="32"/>
          <w:highlight w:val="none"/>
          <w:lang w:val="en-US" w:eastAsia="zh-CN"/>
        </w:rPr>
        <w:t>待</w:t>
      </w:r>
      <w:r>
        <w:rPr>
          <w:rFonts w:hint="eastAsia" w:ascii="仿宋_GB2312" w:hAnsi="仿宋" w:eastAsia="仿宋_GB2312" w:cs="宋体"/>
          <w:kern w:val="0"/>
          <w:sz w:val="32"/>
          <w:szCs w:val="32"/>
          <w:highlight w:val="none"/>
        </w:rPr>
        <w:t>加强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4" w:right="16" w:firstLine="643"/>
        <w:rPr>
          <w:rFonts w:hint="eastAsia"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金台区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  <w:lang w:eastAsia="zh-CN"/>
        </w:rPr>
        <w:t>陵原集中供水水厂提升改造工程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预算总投资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196.78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万元，已拨付到位资金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197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.00万元。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eastAsia="zh-CN"/>
        </w:rPr>
        <w:t>截至2024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年8月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20日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，项目已基本完工，目前正在试运行之中，尚未进行工程验收和审计工作；实际支付资金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153.9050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万元，占项目预算资金的（预算执行率）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78.21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 xml:space="preserve"> %，占工程建设中标合同价（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196.35万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元）的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78.38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%。预计202</w:t>
      </w:r>
      <w:r>
        <w:rPr>
          <w:rFonts w:hint="eastAsia" w:ascii="仿宋_GB2312" w:hAnsi="仿宋" w:eastAsia="仿宋_GB2312" w:cs="宋体"/>
          <w:kern w:val="0"/>
          <w:sz w:val="32"/>
          <w:szCs w:val="32"/>
          <w:lang w:val="en-US" w:eastAsia="zh-CN"/>
        </w:rPr>
        <w:t>4年9月底</w:t>
      </w:r>
      <w:r>
        <w:rPr>
          <w:rFonts w:hint="eastAsia" w:ascii="仿宋_GB2312" w:hAnsi="仿宋" w:eastAsia="仿宋_GB2312" w:cs="宋体"/>
          <w:kern w:val="0"/>
          <w:sz w:val="32"/>
          <w:szCs w:val="32"/>
        </w:rPr>
        <w:t>项目能全部完成建设目标任务和预算执行计划任务。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8" w:beforeLines="50" w:after="158" w:afterLines="50" w:line="560" w:lineRule="exact"/>
        <w:ind w:firstLine="640" w:firstLineChars="200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五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、存在问题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项目绩效管理工作有待加强。尽</w:t>
      </w:r>
      <w:r>
        <w:rPr>
          <w:rFonts w:hint="eastAsia" w:ascii="仿宋_GB2312" w:hAnsi="仿宋_GB2312" w:eastAsia="仿宋_GB2312" w:cs="仿宋_GB2312"/>
          <w:sz w:val="32"/>
          <w:szCs w:val="32"/>
        </w:rPr>
        <w:t>管项目实施单位已开展了绩效管理工作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从本次项目事中绩效监控情况看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仍存在着</w:t>
      </w:r>
      <w:r>
        <w:rPr>
          <w:rFonts w:hint="eastAsia" w:ascii="仿宋_GB2312" w:hAnsi="仿宋_GB2312" w:eastAsia="仿宋_GB2312" w:cs="仿宋_GB2312"/>
          <w:sz w:val="32"/>
          <w:szCs w:val="32"/>
        </w:rPr>
        <w:t>绩效目标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设置不恰当</w:t>
      </w:r>
      <w:r>
        <w:rPr>
          <w:rFonts w:hint="eastAsia" w:ascii="仿宋_GB2312" w:hAnsi="仿宋_GB2312" w:eastAsia="仿宋_GB2312" w:cs="仿宋_GB2312"/>
          <w:sz w:val="32"/>
          <w:szCs w:val="32"/>
        </w:rPr>
        <w:t>，绩效自评工作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有待进一步</w:t>
      </w:r>
      <w:r>
        <w:rPr>
          <w:rFonts w:hint="eastAsia" w:ascii="仿宋_GB2312" w:hAnsi="仿宋_GB2312" w:eastAsia="仿宋_GB2312" w:cs="仿宋_GB2312"/>
          <w:sz w:val="32"/>
          <w:szCs w:val="32"/>
        </w:rPr>
        <w:t>规范。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8" w:beforeLines="50" w:after="158" w:afterLines="50" w:line="560" w:lineRule="exact"/>
        <w:ind w:firstLine="640" w:firstLineChars="200"/>
        <w:jc w:val="left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六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、相关建议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yellow"/>
        </w:rPr>
      </w:pPr>
      <w:r>
        <w:rPr>
          <w:rFonts w:hint="eastAsia" w:ascii="仿宋_GB2312" w:hAnsi="仿宋_GB2312" w:eastAsia="仿宋_GB2312" w:cs="仿宋_GB2312"/>
          <w:color w:val="191919"/>
          <w:sz w:val="32"/>
          <w:szCs w:val="32"/>
          <w:shd w:val="clear" w:color="auto" w:fill="FFFFFF"/>
        </w:rPr>
        <w:t>（一）加强</w:t>
      </w:r>
      <w:r>
        <w:rPr>
          <w:rFonts w:hint="eastAsia" w:ascii="仿宋_GB2312" w:hAnsi="仿宋_GB2312" w:eastAsia="仿宋_GB2312" w:cs="仿宋_GB2312"/>
          <w:color w:val="191919"/>
          <w:sz w:val="32"/>
          <w:szCs w:val="32"/>
          <w:shd w:val="clear" w:color="auto" w:fill="FFFFFF"/>
          <w:lang w:val="en-US" w:eastAsia="zh-CN"/>
        </w:rPr>
        <w:t>制度</w:t>
      </w:r>
      <w:r>
        <w:rPr>
          <w:rFonts w:hint="eastAsia" w:ascii="仿宋_GB2312" w:hAnsi="仿宋_GB2312" w:eastAsia="仿宋_GB2312" w:cs="仿宋_GB2312"/>
          <w:color w:val="191919"/>
          <w:sz w:val="32"/>
          <w:szCs w:val="32"/>
          <w:shd w:val="clear" w:color="auto" w:fill="FFFFFF"/>
        </w:rPr>
        <w:t>建设，发挥财政专项资金效能。</w:t>
      </w:r>
      <w:r>
        <w:rPr>
          <w:rFonts w:hint="eastAsia" w:ascii="仿宋_GB2312" w:hAnsi="仿宋_GB2312" w:eastAsia="仿宋_GB2312" w:cs="仿宋_GB2312"/>
          <w:color w:val="191919"/>
          <w:sz w:val="32"/>
          <w:szCs w:val="32"/>
          <w:shd w:val="clear" w:color="auto" w:fill="FFFFFF"/>
          <w:lang w:val="en-US" w:eastAsia="zh-CN"/>
        </w:rPr>
        <w:t>建议项目单位</w:t>
      </w:r>
      <w:r>
        <w:rPr>
          <w:rFonts w:hint="eastAsia" w:ascii="仿宋_GB2312" w:hAnsi="仿宋_GB2312" w:eastAsia="仿宋_GB2312" w:cs="仿宋_GB2312"/>
          <w:color w:val="191919"/>
          <w:sz w:val="32"/>
          <w:szCs w:val="32"/>
          <w:shd w:val="clear" w:color="auto" w:fill="FFFFFF"/>
        </w:rPr>
        <w:t>建立健全项目财务管理等相关制度，用制度管权、按制度办事、靠制度管人，把制度转化为行为准则和自觉行动，</w:t>
      </w:r>
      <w:r>
        <w:rPr>
          <w:rFonts w:hint="eastAsia" w:ascii="仿宋_GB2312" w:hAnsi="仿宋_GB2312" w:eastAsia="仿宋_GB2312" w:cs="仿宋_GB2312"/>
          <w:sz w:val="32"/>
          <w:szCs w:val="32"/>
        </w:rPr>
        <w:t>发挥制度的保障性作用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。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640" w:firstLineChars="200"/>
        <w:rPr>
          <w:rFonts w:hint="eastAsia"/>
        </w:rPr>
      </w:pPr>
      <w:r>
        <w:rPr>
          <w:rFonts w:hint="eastAsia" w:ascii="仿宋_GB2312" w:hAnsi="仿宋_GB2312" w:eastAsia="仿宋_GB2312" w:cs="仿宋_GB2312"/>
          <w:color w:val="191919"/>
          <w:sz w:val="32"/>
          <w:szCs w:val="32"/>
          <w:shd w:val="clear" w:color="auto" w:fill="FFFFFF"/>
        </w:rPr>
        <w:t>（二）加强施工监管，确保工程质量。</w:t>
      </w:r>
      <w:r>
        <w:rPr>
          <w:rFonts w:hint="eastAsia" w:ascii="仿宋_GB2312" w:hAnsi="仿宋_GB2312" w:eastAsia="仿宋_GB2312" w:cs="仿宋_GB2312"/>
          <w:sz w:val="32"/>
          <w:szCs w:val="32"/>
        </w:rPr>
        <w:t>农村供水工程事关民生保障，为切实保障供水工程项目质量，项目单位应在广泛听取群众意见的基础上，对项目施工整体情况进行一次全面梳理排查，对存在瑕疵的路段及时进行整改完善，并适时组织工程验收，确保工程质量，全力打造群众满意的民生工程精品工程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191919"/>
          <w:kern w:val="2"/>
          <w:sz w:val="32"/>
          <w:szCs w:val="32"/>
          <w:shd w:val="clear" w:color="auto" w:fill="FFFFFF"/>
          <w:lang w:val="en-US" w:eastAsia="zh-CN" w:bidi="ar-SA"/>
        </w:rPr>
        <w:t>（三）增强绩效意识，强化绩效管理。一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  <w:t>是项目单位要切实增强绩效管理理念，树立绩效管理意识，筑牢“花钱必问效，无效必问责”的绩效理念，要学懂弄通项目绩效考核指标的各项要求，掌握指标内容和含义，努力提高绩效目标编制的完整性和规范性，并要着力健全项目绩效长效机制。二是项目单位要强化预算绩效目标管理，科学设置项目绩效目标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  <w:instrText xml:space="preserve"> HYPERLINK "https://www.so.com/link?m=bi3R41Ewdd5mEguxzKHLJ0zRK9RCMpbIE2ohWRNgO+nbr7/MK322ZLB+nUyMJaIS/zPAt0Iy7kJ6updQyJj7q74l2KsT+8LTwogzKMLWZXlqrPFSZwry0iEQqSBiN9pbdSjnNJDPvQ7sPJsQH3c47w0pVhevl1fm+xbwiCme6DJL+sUfbAAUOS6XsQ9kabDDRLdm0MRhmD1cOjuAD17a62yPAihHBZCfAhbRrWmTkgrxbIDW+nGR8LLUvtxMoJur/q8fv1gGy6bCGxiNmHQkAiDWUF/6dbdbI4KyHnGEtk8HYxm61Ibfz6J+ygfbBSIxdozCDYwcmfeXFE+H4a//WbkfIr4ZRMHn8i1ODMmqr+AHDI7ZlsHxk5Z5aUg63ATuqrGEddxQWpqM=" \t "https://www.so.com/_blank" </w:instrTex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  <w:fldChar w:fldCharType="separate"/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  <w:t>切实增强绩效目标的完整性、相关性、适当性和可行性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  <w:fldChar w:fldCharType="end"/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  <w:t>，确保项目绩效目标与政策目标、社会公众需求、财政投入规模、部门职责职能、项目实施计划等相匹配。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附件：</w:t>
      </w:r>
    </w:p>
    <w:p>
      <w:pPr>
        <w:spacing w:line="640" w:lineRule="exact"/>
        <w:ind w:left="1277" w:leftChars="608" w:firstLine="0" w:firstLineChars="0"/>
        <w:jc w:val="left"/>
        <w:outlineLvl w:val="0"/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 xml:space="preserve">1.2024年金台区陵原供水改造工程绩效运行监控表 </w:t>
      </w:r>
    </w:p>
    <w:p>
      <w:pPr>
        <w:spacing w:line="640" w:lineRule="exact"/>
        <w:ind w:firstLine="960" w:firstLineChars="300"/>
        <w:jc w:val="left"/>
        <w:outlineLvl w:val="0"/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 xml:space="preserve">  2.绩效考评组成员表</w:t>
      </w:r>
    </w:p>
    <w:p>
      <w:pPr>
        <w:pStyle w:val="15"/>
        <w:keepNext w:val="0"/>
        <w:keepLines w:val="0"/>
        <w:pageBreakBefore w:val="0"/>
        <w:tabs>
          <w:tab w:val="left" w:pos="702"/>
          <w:tab w:val="center" w:pos="444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rPr>
          <w:rFonts w:hint="eastAsia"/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firstLine="4800" w:firstLineChars="15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 xml:space="preserve"> 宝鸡市金台区财政局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5040" w:firstLineChars="1575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27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日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</w:p>
    <w:tbl>
      <w:tblPr>
        <w:tblStyle w:val="18"/>
        <w:tblW w:w="8475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7"/>
        <w:gridCol w:w="483"/>
        <w:gridCol w:w="951"/>
        <w:gridCol w:w="1330"/>
        <w:gridCol w:w="924"/>
        <w:gridCol w:w="783"/>
        <w:gridCol w:w="703"/>
        <w:gridCol w:w="143"/>
        <w:gridCol w:w="784"/>
        <w:gridCol w:w="163"/>
        <w:gridCol w:w="143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" w:hRule="atLeast"/>
        </w:trPr>
        <w:tc>
          <w:tcPr>
            <w:tcW w:w="8475" w:type="dxa"/>
            <w:gridSpan w:val="11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widowControl/>
              <w:jc w:val="both"/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8"/>
                <w:szCs w:val="28"/>
                <w:lang w:val="en-US" w:eastAsia="zh-CN"/>
              </w:rPr>
              <w:t>附件1</w:t>
            </w:r>
          </w:p>
          <w:p>
            <w:pPr>
              <w:widowControl/>
              <w:jc w:val="center"/>
              <w:rPr>
                <w:rFonts w:ascii="方正小标宋简体" w:hAnsi="仿宋" w:eastAsia="方正小标宋简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方正小标宋简体" w:hAnsi="仿宋" w:eastAsia="方正小标宋简体" w:cs="宋体"/>
                <w:color w:val="000000"/>
                <w:kern w:val="0"/>
                <w:sz w:val="32"/>
                <w:szCs w:val="32"/>
              </w:rPr>
              <w:t>绩效运行监控表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8475" w:type="dxa"/>
            <w:gridSpan w:val="11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（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  <w:lang w:val="en-US" w:eastAsia="zh-CN"/>
              </w:rPr>
              <w:t>2024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年度）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专项（项目）名称</w:t>
            </w:r>
          </w:p>
        </w:tc>
        <w:tc>
          <w:tcPr>
            <w:tcW w:w="32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  <w:lang w:val="en-US" w:eastAsia="zh-CN"/>
              </w:rPr>
              <w:t>2024年金台区陵原供水改造工程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4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项目负责人及联系电话</w:t>
            </w:r>
          </w:p>
        </w:tc>
        <w:tc>
          <w:tcPr>
            <w:tcW w:w="25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both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  <w:lang w:eastAsia="zh-CN"/>
              </w:rPr>
              <w:t>杨亚军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  <w:lang w:val="en-US" w:eastAsia="zh-CN"/>
              </w:rPr>
              <w:t>13709179172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1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主管部门</w:t>
            </w:r>
          </w:p>
        </w:tc>
        <w:tc>
          <w:tcPr>
            <w:tcW w:w="323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  <w:lang w:eastAsia="zh-CN"/>
              </w:rPr>
              <w:t>金台区水利局</w:t>
            </w:r>
          </w:p>
        </w:tc>
        <w:tc>
          <w:tcPr>
            <w:tcW w:w="144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实施单位</w:t>
            </w:r>
          </w:p>
        </w:tc>
        <w:tc>
          <w:tcPr>
            <w:tcW w:w="25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  <w:lang w:eastAsia="zh-CN"/>
              </w:rPr>
              <w:t>金台区水利水保工作站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126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项目资金（万元）</w:t>
            </w:r>
          </w:p>
        </w:tc>
        <w:tc>
          <w:tcPr>
            <w:tcW w:w="231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全年预算数（</w:t>
            </w:r>
            <w:r>
              <w:rPr>
                <w:rFonts w:ascii="仿宋" w:hAnsi="仿宋" w:eastAsia="仿宋" w:cs="宋体"/>
                <w:color w:val="000000"/>
                <w:kern w:val="0"/>
                <w:szCs w:val="21"/>
              </w:rPr>
              <w:t>A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）</w:t>
            </w:r>
          </w:p>
        </w:tc>
        <w:tc>
          <w:tcPr>
            <w:tcW w:w="23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Cs w:val="21"/>
              </w:rPr>
              <w:t>1-7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月份执行数（</w:t>
            </w:r>
            <w:r>
              <w:rPr>
                <w:rFonts w:ascii="仿宋" w:hAnsi="仿宋" w:eastAsia="仿宋" w:cs="宋体"/>
                <w:color w:val="000000"/>
                <w:kern w:val="0"/>
                <w:szCs w:val="21"/>
              </w:rPr>
              <w:t>B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）</w:t>
            </w:r>
          </w:p>
        </w:tc>
        <w:tc>
          <w:tcPr>
            <w:tcW w:w="16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执行率（</w:t>
            </w:r>
            <w:r>
              <w:rPr>
                <w:rFonts w:ascii="仿宋" w:hAnsi="仿宋" w:eastAsia="仿宋" w:cs="宋体"/>
                <w:color w:val="000000"/>
                <w:kern w:val="0"/>
                <w:szCs w:val="21"/>
              </w:rPr>
              <w:t>B/A)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" w:hRule="atLeast"/>
        </w:trPr>
        <w:tc>
          <w:tcPr>
            <w:tcW w:w="126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231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年度资金总额：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  <w:lang w:val="en-US" w:eastAsia="zh-CN"/>
              </w:rPr>
              <w:t>197</w:t>
            </w:r>
          </w:p>
        </w:tc>
        <w:tc>
          <w:tcPr>
            <w:tcW w:w="23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  <w:lang w:val="en-US" w:eastAsia="zh-CN"/>
              </w:rPr>
              <w:t>153.905</w:t>
            </w:r>
          </w:p>
        </w:tc>
        <w:tc>
          <w:tcPr>
            <w:tcW w:w="16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仿宋" w:hAnsi="仿宋" w:eastAsia="仿宋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  <w:lang w:val="en-US" w:eastAsia="zh-CN"/>
              </w:rPr>
              <w:t>78.12%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" w:hRule="atLeast"/>
        </w:trPr>
        <w:tc>
          <w:tcPr>
            <w:tcW w:w="126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231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其中：上级财政资金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6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" w:hRule="atLeast"/>
        </w:trPr>
        <w:tc>
          <w:tcPr>
            <w:tcW w:w="126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231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Cs w:val="21"/>
              </w:rPr>
              <w:t xml:space="preserve">   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区级财政资金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  <w:lang w:val="en-US" w:eastAsia="zh-CN"/>
              </w:rPr>
              <w:t>197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  <w:lang w:val="en-US" w:eastAsia="zh-CN"/>
              </w:rPr>
              <w:t>153.905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6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仿宋" w:hAnsi="仿宋" w:eastAsia="仿宋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  <w:lang w:val="en-US" w:eastAsia="zh-CN"/>
              </w:rPr>
              <w:t>78.12%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" w:hRule="atLeast"/>
        </w:trPr>
        <w:tc>
          <w:tcPr>
            <w:tcW w:w="126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231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Cs w:val="21"/>
              </w:rPr>
              <w:t xml:space="preserve"> 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其他资金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23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6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8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年度总体目标</w:t>
            </w:r>
          </w:p>
        </w:tc>
        <w:tc>
          <w:tcPr>
            <w:tcW w:w="37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年初设定目标</w:t>
            </w:r>
          </w:p>
        </w:tc>
        <w:tc>
          <w:tcPr>
            <w:tcW w:w="396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全年实际完成情况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</w:trPr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37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  <w:lang w:eastAsia="zh-CN"/>
              </w:rPr>
              <w:t>大口井及清水池清洗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  <w:lang w:val="en-US" w:eastAsia="zh-CN"/>
              </w:rPr>
              <w:t>1处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  <w:lang w:eastAsia="zh-CN"/>
              </w:rPr>
              <w:t>、新建隔板反应沉淀池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  <w:lang w:val="en-US" w:eastAsia="zh-CN"/>
              </w:rPr>
              <w:t>1座，水厂改造（含净水设备、自动化、加药设备、建筑物等）1处，集中供水二期改造1处，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396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  <w:lang w:eastAsia="zh-CN"/>
              </w:rPr>
              <w:t>大口井及清水池清洗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  <w:lang w:val="en-US" w:eastAsia="zh-CN"/>
              </w:rPr>
              <w:t>1处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  <w:lang w:eastAsia="zh-CN"/>
              </w:rPr>
              <w:t>、新建隔板反应沉淀池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  <w:lang w:val="en-US" w:eastAsia="zh-CN"/>
              </w:rPr>
              <w:t>1座，水厂改造</w:t>
            </w:r>
            <w:r>
              <w:rPr>
                <w:rFonts w:hint="eastAsia" w:ascii="宋体" w:hAnsi="宋体" w:eastAsia="宋体" w:cs="宋体"/>
                <w:spacing w:val="-1"/>
                <w:sz w:val="18"/>
                <w:szCs w:val="18"/>
              </w:rPr>
              <w:t>（</w:t>
            </w:r>
            <w:r>
              <w:rPr>
                <w:rFonts w:hint="eastAsia" w:ascii="宋体" w:hAnsi="宋体" w:eastAsia="宋体" w:cs="宋体"/>
                <w:spacing w:val="-1"/>
                <w:sz w:val="18"/>
                <w:szCs w:val="18"/>
                <w:lang w:eastAsia="zh-CN"/>
              </w:rPr>
              <w:t>净化设备、</w:t>
            </w:r>
            <w:r>
              <w:rPr>
                <w:rFonts w:hint="eastAsia" w:ascii="宋体" w:hAnsi="宋体" w:eastAsia="宋体" w:cs="宋体"/>
                <w:spacing w:val="-1"/>
                <w:sz w:val="18"/>
                <w:szCs w:val="18"/>
              </w:rPr>
              <w:t>PVC塑钢围栏、标识牌、拆除管道防护墙）。目前工程正在试运行之中</w:t>
            </w:r>
            <w:r>
              <w:rPr>
                <w:rFonts w:hint="eastAsia" w:ascii="宋体" w:hAnsi="宋体" w:eastAsia="宋体" w:cs="宋体"/>
                <w:spacing w:val="-1"/>
                <w:sz w:val="18"/>
                <w:szCs w:val="18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pacing w:val="-1"/>
                <w:sz w:val="18"/>
                <w:szCs w:val="18"/>
                <w:lang w:val="en-US" w:eastAsia="zh-CN"/>
              </w:rPr>
              <w:t>等待项目验收及审计</w:t>
            </w:r>
            <w:r>
              <w:rPr>
                <w:rFonts w:hint="eastAsia" w:ascii="宋体" w:hAnsi="宋体" w:eastAsia="宋体" w:cs="宋体"/>
                <w:spacing w:val="-1"/>
                <w:sz w:val="18"/>
                <w:szCs w:val="18"/>
                <w:lang w:eastAsia="zh-CN"/>
              </w:rPr>
              <w:t>。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78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绩效指标</w:t>
            </w:r>
          </w:p>
        </w:tc>
        <w:tc>
          <w:tcPr>
            <w:tcW w:w="4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一级</w:t>
            </w:r>
          </w:p>
        </w:tc>
        <w:tc>
          <w:tcPr>
            <w:tcW w:w="9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二级指标</w:t>
            </w: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三级指标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年度指标值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ascii="仿宋" w:hAnsi="仿宋" w:eastAsia="仿宋" w:cs="宋体"/>
                <w:color w:val="000000"/>
                <w:kern w:val="0"/>
                <w:szCs w:val="21"/>
              </w:rPr>
              <w:t>1-7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月完成情况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全年预计完成值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未完成原因和改进措施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484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产出指标</w:t>
            </w:r>
          </w:p>
        </w:tc>
        <w:tc>
          <w:tcPr>
            <w:tcW w:w="95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数量指标</w:t>
            </w: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更换供水管网总长（米）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137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137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137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000000"/>
                <w:sz w:val="18"/>
                <w:szCs w:val="18"/>
              </w:rPr>
              <w:t>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95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left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新修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平流式隔板反应沉淀池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（座）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95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left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eastAsia="zh-CN"/>
              </w:rPr>
              <w:t>清洗大口井、蓄水池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（项）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95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质量指标</w:t>
            </w: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left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工程完工验收合格率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未验收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95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宋体" w:hAnsi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供水质量达标率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100%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val="en-US" w:eastAsia="zh-CN"/>
              </w:rPr>
              <w:t>未验收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100%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95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left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工程及时完工率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val="en-US" w:eastAsia="zh-CN"/>
              </w:rPr>
              <w:t>80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%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100%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95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成本指标</w:t>
            </w: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left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工程投资额（万元）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≤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197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.00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153.905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≤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lang w:val="en-US" w:eastAsia="zh-CN"/>
              </w:rPr>
              <w:t>197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.00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  <w:lang w:eastAsia="zh-CN"/>
              </w:rPr>
              <w:t>加快施工，按期完成建设任务</w:t>
            </w: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95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社会发展负作用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9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left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助力乡村振兴、助推经济发展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明显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明显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明显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9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惠及人口（人）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14727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14727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  <w:lang w:val="en-US" w:eastAsia="zh-CN"/>
              </w:rPr>
              <w:t>14727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95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left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持续改善项目区生态居住环境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明显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明显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明显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" w:hRule="atLeast"/>
        </w:trPr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9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可持续影响指标</w:t>
            </w: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left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工程设计使用年限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≥10年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-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10年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7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</w:p>
        </w:tc>
        <w:tc>
          <w:tcPr>
            <w:tcW w:w="4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满意度指标</w:t>
            </w:r>
          </w:p>
        </w:tc>
        <w:tc>
          <w:tcPr>
            <w:tcW w:w="9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服务对象满意度指标</w:t>
            </w:r>
          </w:p>
        </w:tc>
        <w:tc>
          <w:tcPr>
            <w:tcW w:w="22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left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</w:rPr>
              <w:t>指标：受益群众满意率</w:t>
            </w:r>
          </w:p>
        </w:tc>
        <w:tc>
          <w:tcPr>
            <w:tcW w:w="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eastAsia" w:ascii="宋体" w:hAnsi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≥95%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宋体" w:hAnsi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val="en-US" w:eastAsia="zh-CN"/>
              </w:rPr>
              <w:t>95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.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val="en-US" w:eastAsia="zh-CN"/>
              </w:rPr>
              <w:t>08</w:t>
            </w: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</w:rPr>
              <w:t>%</w:t>
            </w:r>
          </w:p>
        </w:tc>
        <w:tc>
          <w:tcPr>
            <w:tcW w:w="95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20" w:lineRule="exact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18"/>
                <w:szCs w:val="18"/>
                <w:highlight w:val="none"/>
                <w:lang w:val="en-US" w:eastAsia="zh-CN"/>
              </w:rPr>
              <w:t>100%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Cs w:val="21"/>
              </w:rPr>
              <w:t>　</w:t>
            </w:r>
          </w:p>
        </w:tc>
      </w:tr>
    </w:tbl>
    <w:p>
      <w:pPr>
        <w:pStyle w:val="5"/>
        <w:rPr>
          <w:rFonts w:ascii="宋体" w:hAnsi="宋体"/>
          <w:sz w:val="32"/>
          <w:szCs w:val="32"/>
        </w:rPr>
      </w:pPr>
    </w:p>
    <w:p>
      <w:pPr>
        <w:outlineLvl w:val="0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</w:rPr>
        <w:t>附件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2</w:t>
      </w:r>
    </w:p>
    <w:p>
      <w:pPr>
        <w:spacing w:line="680" w:lineRule="exact"/>
        <w:jc w:val="center"/>
        <w:outlineLvl w:val="0"/>
        <w:rPr>
          <w:rFonts w:hint="eastAsia" w:ascii="仿宋" w:eastAsia="仿宋" w:cs="仿宋"/>
          <w:b/>
          <w:bCs/>
          <w:sz w:val="36"/>
          <w:szCs w:val="36"/>
        </w:rPr>
      </w:pPr>
      <w:r>
        <w:rPr>
          <w:rFonts w:hint="eastAsia" w:ascii="仿宋" w:eastAsia="仿宋" w:cs="仿宋"/>
          <w:b/>
          <w:bCs/>
          <w:sz w:val="36"/>
          <w:szCs w:val="36"/>
        </w:rPr>
        <w:t>绩效评价组成员表</w:t>
      </w:r>
    </w:p>
    <w:p>
      <w:pPr>
        <w:pStyle w:val="5"/>
      </w:pPr>
    </w:p>
    <w:p>
      <w:pPr>
        <w:spacing w:line="800" w:lineRule="exact"/>
        <w:ind w:firstLine="640" w:firstLineChars="200"/>
        <w:rPr>
          <w:rFonts w:hint="eastAsia" w:asci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胡海刚</w:t>
      </w:r>
      <w:r>
        <w:rPr>
          <w:rFonts w:hint="eastAsia" w:ascii="仿宋_GB2312" w:eastAsia="仿宋_GB2312" w:cs="仿宋_GB2312"/>
          <w:sz w:val="32"/>
          <w:szCs w:val="32"/>
        </w:rPr>
        <w:t xml:space="preserve">  宝鸡市金台区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财政局副局长</w:t>
      </w:r>
    </w:p>
    <w:p>
      <w:pPr>
        <w:spacing w:line="800" w:lineRule="exact"/>
        <w:ind w:left="2238" w:leftChars="304" w:hanging="1600" w:hangingChars="500"/>
        <w:rPr>
          <w:rFonts w:hint="default" w:asci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李彦彬</w:t>
      </w:r>
      <w:r>
        <w:rPr>
          <w:rFonts w:hint="eastAsia" w:ascii="仿宋_GB2312" w:eastAsia="仿宋_GB2312" w:cs="仿宋_GB2312"/>
          <w:sz w:val="32"/>
          <w:szCs w:val="32"/>
        </w:rPr>
        <w:t xml:space="preserve">  宝鸡市金台区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财政局农业农村股股长（主评人）</w:t>
      </w:r>
    </w:p>
    <w:p>
      <w:pPr>
        <w:spacing w:line="800" w:lineRule="exact"/>
        <w:ind w:left="2238" w:leftChars="304" w:hanging="1600" w:hangingChars="500"/>
        <w:rPr>
          <w:rFonts w:hint="default" w:asci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李  菁</w:t>
      </w:r>
      <w:r>
        <w:rPr>
          <w:rFonts w:hint="eastAsia" w:ascii="仿宋_GB2312" w:eastAsia="仿宋_GB2312" w:cs="仿宋_GB2312"/>
          <w:sz w:val="32"/>
          <w:szCs w:val="32"/>
        </w:rPr>
        <w:t xml:space="preserve">  宝鸡市金台区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财政局农业农村股科员</w:t>
      </w:r>
    </w:p>
    <w:p>
      <w:pPr>
        <w:pStyle w:val="6"/>
      </w:pPr>
    </w:p>
    <w:sectPr>
      <w:pgSz w:w="11906" w:h="16838"/>
      <w:pgMar w:top="1440" w:right="1587" w:bottom="1440" w:left="1701" w:header="851" w:footer="992" w:gutter="0"/>
      <w:cols w:space="720" w:num="1"/>
      <w:titlePg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opperplate Gothic Bold">
    <w:altName w:val="Segoe Print"/>
    <w:panose1 w:val="020E0705020206020404"/>
    <w:charset w:val="00"/>
    <w:family w:val="swiss"/>
    <w:pitch w:val="default"/>
    <w:sig w:usb0="00000000" w:usb1="00000000" w:usb2="00000000" w:usb3="00000000" w:csb0="2000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hyphenationZone w:val="36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BjODllZThiYTk4NTNlY2UwOTIxYTVkY2U2ZmIyZmYifQ=="/>
    <w:docVar w:name="KSO_WPS_MARK_KEY" w:val="9713a56e-f044-43dc-8502-dd705a1abf90"/>
  </w:docVars>
  <w:rsids>
    <w:rsidRoot w:val="0086791D"/>
    <w:rsid w:val="00001D50"/>
    <w:rsid w:val="00060953"/>
    <w:rsid w:val="000C14B5"/>
    <w:rsid w:val="000E2313"/>
    <w:rsid w:val="001A37F7"/>
    <w:rsid w:val="001B3DF8"/>
    <w:rsid w:val="002C319E"/>
    <w:rsid w:val="002F2186"/>
    <w:rsid w:val="00384835"/>
    <w:rsid w:val="003D12C9"/>
    <w:rsid w:val="003E5DA5"/>
    <w:rsid w:val="003F46DD"/>
    <w:rsid w:val="0046043F"/>
    <w:rsid w:val="00470E8B"/>
    <w:rsid w:val="004733D0"/>
    <w:rsid w:val="004E4F06"/>
    <w:rsid w:val="004E7DEE"/>
    <w:rsid w:val="004F10C7"/>
    <w:rsid w:val="00504115"/>
    <w:rsid w:val="005433B6"/>
    <w:rsid w:val="0058373C"/>
    <w:rsid w:val="005A18E9"/>
    <w:rsid w:val="005B1FE0"/>
    <w:rsid w:val="005C1650"/>
    <w:rsid w:val="006275C6"/>
    <w:rsid w:val="006836D3"/>
    <w:rsid w:val="00711550"/>
    <w:rsid w:val="007422AB"/>
    <w:rsid w:val="0086791D"/>
    <w:rsid w:val="008B4A71"/>
    <w:rsid w:val="009B1C84"/>
    <w:rsid w:val="009C4E28"/>
    <w:rsid w:val="009D5AF9"/>
    <w:rsid w:val="009F2CD7"/>
    <w:rsid w:val="009F58E6"/>
    <w:rsid w:val="00A86A3F"/>
    <w:rsid w:val="00A96B17"/>
    <w:rsid w:val="00AB62FE"/>
    <w:rsid w:val="00AC0BC9"/>
    <w:rsid w:val="00AE70A3"/>
    <w:rsid w:val="00AF7DAE"/>
    <w:rsid w:val="00B4051B"/>
    <w:rsid w:val="00B47CE4"/>
    <w:rsid w:val="00B5298D"/>
    <w:rsid w:val="00B752DC"/>
    <w:rsid w:val="00BA7685"/>
    <w:rsid w:val="00BB4729"/>
    <w:rsid w:val="00C03A73"/>
    <w:rsid w:val="00C10F0B"/>
    <w:rsid w:val="00C83218"/>
    <w:rsid w:val="00CC73A3"/>
    <w:rsid w:val="00CF110B"/>
    <w:rsid w:val="00D22E3B"/>
    <w:rsid w:val="00DA53D1"/>
    <w:rsid w:val="00DD58ED"/>
    <w:rsid w:val="00E84655"/>
    <w:rsid w:val="00E973E0"/>
    <w:rsid w:val="00F34BE7"/>
    <w:rsid w:val="00FC48E5"/>
    <w:rsid w:val="01E3386C"/>
    <w:rsid w:val="02BE0B78"/>
    <w:rsid w:val="03157416"/>
    <w:rsid w:val="03C846F5"/>
    <w:rsid w:val="04335DA6"/>
    <w:rsid w:val="04545D1C"/>
    <w:rsid w:val="04A15406"/>
    <w:rsid w:val="04E2027A"/>
    <w:rsid w:val="05340655"/>
    <w:rsid w:val="05A23280"/>
    <w:rsid w:val="05D24022"/>
    <w:rsid w:val="0607573C"/>
    <w:rsid w:val="062F4DCB"/>
    <w:rsid w:val="073A569E"/>
    <w:rsid w:val="07E21FBD"/>
    <w:rsid w:val="08031F33"/>
    <w:rsid w:val="083D0530"/>
    <w:rsid w:val="08406CE4"/>
    <w:rsid w:val="084B1CDD"/>
    <w:rsid w:val="08850B9A"/>
    <w:rsid w:val="08B63E29"/>
    <w:rsid w:val="09B05489"/>
    <w:rsid w:val="09E00043"/>
    <w:rsid w:val="0A544CA0"/>
    <w:rsid w:val="0A930243"/>
    <w:rsid w:val="0ABC5D58"/>
    <w:rsid w:val="0B64630F"/>
    <w:rsid w:val="0C3C74AF"/>
    <w:rsid w:val="0CAB0766"/>
    <w:rsid w:val="0CC3161F"/>
    <w:rsid w:val="0D0805F1"/>
    <w:rsid w:val="0DCE6B40"/>
    <w:rsid w:val="0E022D7F"/>
    <w:rsid w:val="0E265FC1"/>
    <w:rsid w:val="0E4D215A"/>
    <w:rsid w:val="0E651252"/>
    <w:rsid w:val="0EB9334C"/>
    <w:rsid w:val="0EEE7FC3"/>
    <w:rsid w:val="0F266F55"/>
    <w:rsid w:val="0FAD6866"/>
    <w:rsid w:val="101D172E"/>
    <w:rsid w:val="1060617A"/>
    <w:rsid w:val="10741659"/>
    <w:rsid w:val="10861954"/>
    <w:rsid w:val="11631D3A"/>
    <w:rsid w:val="11A472B7"/>
    <w:rsid w:val="11F8143D"/>
    <w:rsid w:val="12A942CE"/>
    <w:rsid w:val="12CA6761"/>
    <w:rsid w:val="12D53340"/>
    <w:rsid w:val="138B5C02"/>
    <w:rsid w:val="13C35F8C"/>
    <w:rsid w:val="14060DE1"/>
    <w:rsid w:val="14212627"/>
    <w:rsid w:val="142352A6"/>
    <w:rsid w:val="14E77FDE"/>
    <w:rsid w:val="15965E03"/>
    <w:rsid w:val="15966195"/>
    <w:rsid w:val="15BB4069"/>
    <w:rsid w:val="16526560"/>
    <w:rsid w:val="16861E75"/>
    <w:rsid w:val="168D57EA"/>
    <w:rsid w:val="16E71062"/>
    <w:rsid w:val="17173305"/>
    <w:rsid w:val="18C21C4F"/>
    <w:rsid w:val="1954782A"/>
    <w:rsid w:val="1A0F4D05"/>
    <w:rsid w:val="1A233E4D"/>
    <w:rsid w:val="1AF829C5"/>
    <w:rsid w:val="1B4641B9"/>
    <w:rsid w:val="1B503FD7"/>
    <w:rsid w:val="1B895303"/>
    <w:rsid w:val="1BAC727B"/>
    <w:rsid w:val="1C23430A"/>
    <w:rsid w:val="1C30456F"/>
    <w:rsid w:val="1D7274E7"/>
    <w:rsid w:val="1D995224"/>
    <w:rsid w:val="1E28013A"/>
    <w:rsid w:val="1E707ECB"/>
    <w:rsid w:val="1FB11482"/>
    <w:rsid w:val="201E490C"/>
    <w:rsid w:val="2058752A"/>
    <w:rsid w:val="2147118F"/>
    <w:rsid w:val="214722A9"/>
    <w:rsid w:val="216554C5"/>
    <w:rsid w:val="21695EFB"/>
    <w:rsid w:val="21CF5E82"/>
    <w:rsid w:val="21D06ED2"/>
    <w:rsid w:val="21F7620D"/>
    <w:rsid w:val="225F2E27"/>
    <w:rsid w:val="23383EAB"/>
    <w:rsid w:val="23C53DCA"/>
    <w:rsid w:val="24551D3E"/>
    <w:rsid w:val="24621831"/>
    <w:rsid w:val="2477097A"/>
    <w:rsid w:val="248D39BB"/>
    <w:rsid w:val="24A05684"/>
    <w:rsid w:val="253F56C7"/>
    <w:rsid w:val="254D59E8"/>
    <w:rsid w:val="256B13EC"/>
    <w:rsid w:val="262117D1"/>
    <w:rsid w:val="26E23D53"/>
    <w:rsid w:val="26FE1841"/>
    <w:rsid w:val="27BC5CF3"/>
    <w:rsid w:val="289442E7"/>
    <w:rsid w:val="29A749BD"/>
    <w:rsid w:val="2A25086C"/>
    <w:rsid w:val="2A366BC4"/>
    <w:rsid w:val="2A874CB1"/>
    <w:rsid w:val="2AD749CB"/>
    <w:rsid w:val="2AF46CAA"/>
    <w:rsid w:val="2B487ADA"/>
    <w:rsid w:val="2B591CE7"/>
    <w:rsid w:val="2BEA65EE"/>
    <w:rsid w:val="2C2E7758"/>
    <w:rsid w:val="2C2F21B8"/>
    <w:rsid w:val="2CE67717"/>
    <w:rsid w:val="2D3C366E"/>
    <w:rsid w:val="2D6C2B66"/>
    <w:rsid w:val="2DF142DC"/>
    <w:rsid w:val="2E156399"/>
    <w:rsid w:val="2E1C24DC"/>
    <w:rsid w:val="2E4C71E3"/>
    <w:rsid w:val="2E500174"/>
    <w:rsid w:val="2E5F5866"/>
    <w:rsid w:val="2EC31D51"/>
    <w:rsid w:val="2F2C1CDE"/>
    <w:rsid w:val="2FCF4CE2"/>
    <w:rsid w:val="30183F1E"/>
    <w:rsid w:val="312335CE"/>
    <w:rsid w:val="317C5755"/>
    <w:rsid w:val="32085200"/>
    <w:rsid w:val="32E41748"/>
    <w:rsid w:val="32E97DF4"/>
    <w:rsid w:val="33294383"/>
    <w:rsid w:val="333746BC"/>
    <w:rsid w:val="338B39FB"/>
    <w:rsid w:val="33B977C6"/>
    <w:rsid w:val="33D9004A"/>
    <w:rsid w:val="34325344"/>
    <w:rsid w:val="344A717E"/>
    <w:rsid w:val="34824AF3"/>
    <w:rsid w:val="353866E6"/>
    <w:rsid w:val="35963AB1"/>
    <w:rsid w:val="36EA58C4"/>
    <w:rsid w:val="36F9612C"/>
    <w:rsid w:val="37040697"/>
    <w:rsid w:val="37161545"/>
    <w:rsid w:val="37AA07C4"/>
    <w:rsid w:val="3843543E"/>
    <w:rsid w:val="38B724FD"/>
    <w:rsid w:val="393618B9"/>
    <w:rsid w:val="39643D30"/>
    <w:rsid w:val="39717C97"/>
    <w:rsid w:val="3A52637C"/>
    <w:rsid w:val="3A752E79"/>
    <w:rsid w:val="3A791121"/>
    <w:rsid w:val="3AED0B0B"/>
    <w:rsid w:val="3BD83F37"/>
    <w:rsid w:val="3D6D13E7"/>
    <w:rsid w:val="3D7B2321"/>
    <w:rsid w:val="3D7F6F43"/>
    <w:rsid w:val="3D9F65F8"/>
    <w:rsid w:val="3F0C4E58"/>
    <w:rsid w:val="3F144681"/>
    <w:rsid w:val="3F275F2C"/>
    <w:rsid w:val="3F36616F"/>
    <w:rsid w:val="3F97123B"/>
    <w:rsid w:val="3FF83425"/>
    <w:rsid w:val="40167CB3"/>
    <w:rsid w:val="405A7359"/>
    <w:rsid w:val="40AB45C6"/>
    <w:rsid w:val="40F736DC"/>
    <w:rsid w:val="41AF2209"/>
    <w:rsid w:val="41F80993"/>
    <w:rsid w:val="431D5A98"/>
    <w:rsid w:val="434075BC"/>
    <w:rsid w:val="43AA2C88"/>
    <w:rsid w:val="43F506EB"/>
    <w:rsid w:val="441023D1"/>
    <w:rsid w:val="4451542B"/>
    <w:rsid w:val="44C544B3"/>
    <w:rsid w:val="44E84BAC"/>
    <w:rsid w:val="45E248A8"/>
    <w:rsid w:val="461C67A8"/>
    <w:rsid w:val="462473E3"/>
    <w:rsid w:val="46955E71"/>
    <w:rsid w:val="47303A3A"/>
    <w:rsid w:val="47895490"/>
    <w:rsid w:val="47913C32"/>
    <w:rsid w:val="47DA472F"/>
    <w:rsid w:val="49676E8B"/>
    <w:rsid w:val="49731B49"/>
    <w:rsid w:val="49FB058A"/>
    <w:rsid w:val="4A7F4886"/>
    <w:rsid w:val="4B890F0B"/>
    <w:rsid w:val="4BCF7CB8"/>
    <w:rsid w:val="4C15535E"/>
    <w:rsid w:val="4C5C4B38"/>
    <w:rsid w:val="4C6F3E94"/>
    <w:rsid w:val="4C9E2A9F"/>
    <w:rsid w:val="4D094EC3"/>
    <w:rsid w:val="4D9A6EA9"/>
    <w:rsid w:val="4D9F75D5"/>
    <w:rsid w:val="4DCF7EBB"/>
    <w:rsid w:val="4E9609D8"/>
    <w:rsid w:val="4E974C0D"/>
    <w:rsid w:val="4F082F58"/>
    <w:rsid w:val="4F3B2C62"/>
    <w:rsid w:val="4FA42C81"/>
    <w:rsid w:val="4FC6709B"/>
    <w:rsid w:val="505A594B"/>
    <w:rsid w:val="50891D2D"/>
    <w:rsid w:val="50B4604E"/>
    <w:rsid w:val="50E410EB"/>
    <w:rsid w:val="520F4B8A"/>
    <w:rsid w:val="5248427D"/>
    <w:rsid w:val="52C915E9"/>
    <w:rsid w:val="53590226"/>
    <w:rsid w:val="53C73008"/>
    <w:rsid w:val="54047867"/>
    <w:rsid w:val="545A3598"/>
    <w:rsid w:val="54F1710D"/>
    <w:rsid w:val="5539030F"/>
    <w:rsid w:val="55EC7130"/>
    <w:rsid w:val="56123E7D"/>
    <w:rsid w:val="566118CC"/>
    <w:rsid w:val="57BB59C2"/>
    <w:rsid w:val="58F76517"/>
    <w:rsid w:val="593F6A60"/>
    <w:rsid w:val="596D4A2C"/>
    <w:rsid w:val="5A0F0173"/>
    <w:rsid w:val="5A3F4454"/>
    <w:rsid w:val="5A4F5EDF"/>
    <w:rsid w:val="5A6F175D"/>
    <w:rsid w:val="5A79459C"/>
    <w:rsid w:val="5AA27F70"/>
    <w:rsid w:val="5C684D7E"/>
    <w:rsid w:val="5C7419FB"/>
    <w:rsid w:val="5C966047"/>
    <w:rsid w:val="5D414205"/>
    <w:rsid w:val="5DA14CA4"/>
    <w:rsid w:val="5DBC388C"/>
    <w:rsid w:val="5DC41E8A"/>
    <w:rsid w:val="5DC425DB"/>
    <w:rsid w:val="5E1B0503"/>
    <w:rsid w:val="5F7A6087"/>
    <w:rsid w:val="61CE3B8D"/>
    <w:rsid w:val="626536E0"/>
    <w:rsid w:val="62720993"/>
    <w:rsid w:val="631657EC"/>
    <w:rsid w:val="63350E1C"/>
    <w:rsid w:val="63B57302"/>
    <w:rsid w:val="63D27965"/>
    <w:rsid w:val="64CE4003"/>
    <w:rsid w:val="65E3086F"/>
    <w:rsid w:val="660518DA"/>
    <w:rsid w:val="661701F9"/>
    <w:rsid w:val="667016B7"/>
    <w:rsid w:val="670E1886"/>
    <w:rsid w:val="67F56ADD"/>
    <w:rsid w:val="67FF45A7"/>
    <w:rsid w:val="68986ABC"/>
    <w:rsid w:val="69A51678"/>
    <w:rsid w:val="69ED7C41"/>
    <w:rsid w:val="6AD80F87"/>
    <w:rsid w:val="6B030D4C"/>
    <w:rsid w:val="6B250CC2"/>
    <w:rsid w:val="6BBB5183"/>
    <w:rsid w:val="6BC3516B"/>
    <w:rsid w:val="6CDE7445"/>
    <w:rsid w:val="6CF42AA7"/>
    <w:rsid w:val="6D496791"/>
    <w:rsid w:val="6D7D3310"/>
    <w:rsid w:val="6D997745"/>
    <w:rsid w:val="6DA1319C"/>
    <w:rsid w:val="6E1E4318"/>
    <w:rsid w:val="6EAE74B2"/>
    <w:rsid w:val="6EC35EB2"/>
    <w:rsid w:val="6F4F27B2"/>
    <w:rsid w:val="6F562641"/>
    <w:rsid w:val="70B646BF"/>
    <w:rsid w:val="714B51FB"/>
    <w:rsid w:val="714C795E"/>
    <w:rsid w:val="71D14D55"/>
    <w:rsid w:val="729B5F31"/>
    <w:rsid w:val="72AC4C80"/>
    <w:rsid w:val="739764D5"/>
    <w:rsid w:val="744022AC"/>
    <w:rsid w:val="74640E8F"/>
    <w:rsid w:val="753778CC"/>
    <w:rsid w:val="75720FA8"/>
    <w:rsid w:val="75DA5AD2"/>
    <w:rsid w:val="761912F8"/>
    <w:rsid w:val="76790296"/>
    <w:rsid w:val="769F6AD1"/>
    <w:rsid w:val="77C15EC8"/>
    <w:rsid w:val="77F557C6"/>
    <w:rsid w:val="77F73E31"/>
    <w:rsid w:val="78970D25"/>
    <w:rsid w:val="792A3391"/>
    <w:rsid w:val="7A07241A"/>
    <w:rsid w:val="7A143809"/>
    <w:rsid w:val="7AAF422D"/>
    <w:rsid w:val="7AD1790C"/>
    <w:rsid w:val="7B203043"/>
    <w:rsid w:val="7B293875"/>
    <w:rsid w:val="7B9F5419"/>
    <w:rsid w:val="7CB579CC"/>
    <w:rsid w:val="7CCD289A"/>
    <w:rsid w:val="7D270F6E"/>
    <w:rsid w:val="7D935F5F"/>
    <w:rsid w:val="7E410EED"/>
    <w:rsid w:val="7E9E4BBC"/>
    <w:rsid w:val="7EFC5D86"/>
    <w:rsid w:val="7F7333C7"/>
    <w:rsid w:val="7FB17884"/>
    <w:rsid w:val="7FD704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qFormat="1" w:unhideWhenUsed="0" w:uiPriority="0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99" w:semiHidden="0" w:name="Body Text 2"/>
    <w:lsdException w:qFormat="1" w:unhideWhenUsed="0" w:uiPriority="99" w:semiHidden="0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5"/>
    <w:qFormat/>
    <w:uiPriority w:val="0"/>
    <w:pPr>
      <w:spacing w:before="100" w:beforeAutospacing="1" w:after="100" w:afterAutospacing="1"/>
      <w:jc w:val="left"/>
      <w:outlineLvl w:val="0"/>
    </w:pPr>
    <w:rPr>
      <w:b/>
      <w:kern w:val="44"/>
      <w:sz w:val="44"/>
      <w:szCs w:val="20"/>
    </w:rPr>
  </w:style>
  <w:style w:type="paragraph" w:styleId="3">
    <w:name w:val="heading 2"/>
    <w:basedOn w:val="4"/>
    <w:next w:val="5"/>
    <w:qFormat/>
    <w:uiPriority w:val="9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宋体"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spacing w:before="100" w:beforeAutospacing="1" w:after="100" w:afterAutospacing="1"/>
      <w:jc w:val="left"/>
      <w:outlineLvl w:val="2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20">
    <w:name w:val="Default Paragraph Font"/>
    <w:unhideWhenUsed/>
    <w:qFormat/>
    <w:uiPriority w:val="1"/>
  </w:style>
  <w:style w:type="table" w:default="1" w:styleId="1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next w:val="6"/>
    <w:qFormat/>
    <w:uiPriority w:val="0"/>
    <w:pPr>
      <w:keepNext w:val="0"/>
      <w:keepLines w:val="0"/>
      <w:widowControl w:val="0"/>
      <w:suppressLineNumbers w:val="0"/>
      <w:spacing w:before="0" w:beforeAutospacing="0" w:after="120" w:afterAutospacing="0"/>
      <w:ind w:left="0" w:right="0"/>
      <w:jc w:val="both"/>
    </w:pPr>
    <w:rPr>
      <w:rFonts w:ascii="Calibri" w:hAnsi="Calibri"/>
      <w:kern w:val="2"/>
      <w:sz w:val="21"/>
      <w:szCs w:val="24"/>
    </w:rPr>
  </w:style>
  <w:style w:type="paragraph" w:styleId="6">
    <w:name w:val="Body Text 2"/>
    <w:basedOn w:val="1"/>
    <w:link w:val="27"/>
    <w:qFormat/>
    <w:uiPriority w:val="99"/>
    <w:rPr>
      <w:rFonts w:ascii="楷体_GB2312" w:hAnsi="Copperplate Gothic Bold" w:eastAsia="楷体_GB2312"/>
      <w:kern w:val="0"/>
      <w:sz w:val="28"/>
      <w:szCs w:val="20"/>
    </w:rPr>
  </w:style>
  <w:style w:type="paragraph" w:styleId="7">
    <w:name w:val="Normal Indent"/>
    <w:basedOn w:val="1"/>
    <w:qFormat/>
    <w:uiPriority w:val="0"/>
    <w:pPr>
      <w:ind w:firstLine="420" w:firstLineChars="200"/>
    </w:pPr>
    <w:rPr>
      <w:rFonts w:ascii="Arial" w:hAnsi="Arial" w:cs="Arial"/>
      <w:szCs w:val="20"/>
    </w:rPr>
  </w:style>
  <w:style w:type="paragraph" w:styleId="8">
    <w:name w:val="annotation text"/>
    <w:basedOn w:val="1"/>
    <w:qFormat/>
    <w:uiPriority w:val="0"/>
    <w:pPr>
      <w:jc w:val="left"/>
    </w:pPr>
  </w:style>
  <w:style w:type="paragraph" w:styleId="9">
    <w:name w:val="Body Text 3"/>
    <w:basedOn w:val="1"/>
    <w:next w:val="10"/>
    <w:qFormat/>
    <w:uiPriority w:val="99"/>
    <w:pPr>
      <w:spacing w:after="120"/>
    </w:pPr>
    <w:rPr>
      <w:rFonts w:ascii="Times New Roman" w:hAnsi="Times New Roman" w:eastAsia="仿宋_GB2312"/>
      <w:kern w:val="0"/>
      <w:sz w:val="16"/>
      <w:szCs w:val="16"/>
    </w:rPr>
  </w:style>
  <w:style w:type="paragraph" w:customStyle="1" w:styleId="10">
    <w:name w:val="Char1"/>
    <w:basedOn w:val="1"/>
    <w:qFormat/>
    <w:uiPriority w:val="99"/>
    <w:pPr>
      <w:tabs>
        <w:tab w:val="left" w:pos="840"/>
      </w:tabs>
      <w:ind w:left="840" w:hanging="420"/>
    </w:pPr>
    <w:rPr>
      <w:rFonts w:ascii="Times New Roman" w:hAnsi="Times New Roman" w:eastAsia="仿宋_GB2312"/>
      <w:sz w:val="24"/>
      <w:szCs w:val="30"/>
    </w:rPr>
  </w:style>
  <w:style w:type="paragraph" w:styleId="11">
    <w:name w:val="Body Text Indent"/>
    <w:basedOn w:val="1"/>
    <w:qFormat/>
    <w:uiPriority w:val="0"/>
    <w:pPr>
      <w:ind w:firstLine="200" w:firstLineChars="200"/>
    </w:pPr>
    <w:rPr>
      <w:sz w:val="28"/>
      <w:szCs w:val="24"/>
    </w:rPr>
  </w:style>
  <w:style w:type="paragraph" w:styleId="12">
    <w:name w:val="Date"/>
    <w:basedOn w:val="1"/>
    <w:next w:val="1"/>
    <w:link w:val="26"/>
    <w:unhideWhenUsed/>
    <w:qFormat/>
    <w:uiPriority w:val="99"/>
    <w:pPr>
      <w:ind w:left="100" w:leftChars="2500"/>
    </w:pPr>
  </w:style>
  <w:style w:type="paragraph" w:styleId="1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4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5">
    <w:name w:val="Subtitle"/>
    <w:basedOn w:val="1"/>
    <w:next w:val="1"/>
    <w:qFormat/>
    <w:uiPriority w:val="0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paragraph" w:styleId="16">
    <w:name w:val="toc 2"/>
    <w:basedOn w:val="1"/>
    <w:next w:val="1"/>
    <w:qFormat/>
    <w:uiPriority w:val="0"/>
    <w:pPr>
      <w:ind w:left="420" w:leftChars="200"/>
    </w:pPr>
  </w:style>
  <w:style w:type="paragraph" w:styleId="17">
    <w:name w:val="Normal (Web)"/>
    <w:basedOn w:val="1"/>
    <w:unhideWhenUsed/>
    <w:qFormat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9">
    <w:name w:val="Table Grid"/>
    <w:basedOn w:val="18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1">
    <w:name w:val="Strong"/>
    <w:basedOn w:val="20"/>
    <w:qFormat/>
    <w:uiPriority w:val="22"/>
    <w:rPr>
      <w:b/>
    </w:rPr>
  </w:style>
  <w:style w:type="character" w:styleId="22">
    <w:name w:val="FollowedHyperlink"/>
    <w:basedOn w:val="20"/>
    <w:unhideWhenUsed/>
    <w:qFormat/>
    <w:uiPriority w:val="99"/>
    <w:rPr>
      <w:color w:val="800080"/>
      <w:u w:val="none"/>
    </w:rPr>
  </w:style>
  <w:style w:type="character" w:styleId="23">
    <w:name w:val="Emphasis"/>
    <w:basedOn w:val="20"/>
    <w:qFormat/>
    <w:uiPriority w:val="20"/>
    <w:rPr>
      <w:i/>
    </w:rPr>
  </w:style>
  <w:style w:type="character" w:styleId="24">
    <w:name w:val="Hyperlink"/>
    <w:basedOn w:val="20"/>
    <w:qFormat/>
    <w:uiPriority w:val="99"/>
    <w:rPr>
      <w:rFonts w:cs="Times New Roman"/>
      <w:color w:val="0000FF"/>
      <w:u w:val="single"/>
    </w:rPr>
  </w:style>
  <w:style w:type="character" w:customStyle="1" w:styleId="25">
    <w:name w:val="标题 1 Char"/>
    <w:link w:val="2"/>
    <w:qFormat/>
    <w:uiPriority w:val="0"/>
    <w:rPr>
      <w:b/>
      <w:kern w:val="44"/>
      <w:sz w:val="44"/>
    </w:rPr>
  </w:style>
  <w:style w:type="character" w:customStyle="1" w:styleId="26">
    <w:name w:val="日期 Char"/>
    <w:basedOn w:val="20"/>
    <w:link w:val="12"/>
    <w:semiHidden/>
    <w:qFormat/>
    <w:uiPriority w:val="99"/>
    <w:rPr>
      <w:kern w:val="2"/>
      <w:sz w:val="21"/>
      <w:szCs w:val="22"/>
    </w:rPr>
  </w:style>
  <w:style w:type="character" w:customStyle="1" w:styleId="27">
    <w:name w:val="正文文本 2 Char"/>
    <w:link w:val="6"/>
    <w:qFormat/>
    <w:uiPriority w:val="99"/>
    <w:rPr>
      <w:rFonts w:ascii="楷体_GB2312" w:hAnsi="Copperplate Gothic Bold" w:eastAsia="楷体_GB2312"/>
      <w:sz w:val="28"/>
    </w:rPr>
  </w:style>
  <w:style w:type="paragraph" w:customStyle="1" w:styleId="28">
    <w:name w:val="引文目录1"/>
    <w:basedOn w:val="1"/>
    <w:next w:val="1"/>
    <w:qFormat/>
    <w:uiPriority w:val="0"/>
    <w:pPr>
      <w:ind w:left="420"/>
    </w:pPr>
  </w:style>
  <w:style w:type="paragraph" w:customStyle="1" w:styleId="29">
    <w:name w:val="reader-word-layer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30">
    <w:name w:val="Body text|1"/>
    <w:basedOn w:val="1"/>
    <w:qFormat/>
    <w:uiPriority w:val="0"/>
    <w:pPr>
      <w:spacing w:line="430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  <w:style w:type="character" w:customStyle="1" w:styleId="31">
    <w:name w:val="font11"/>
    <w:basedOn w:val="20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32">
    <w:name w:val="font61"/>
    <w:basedOn w:val="20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33">
    <w:name w:val="font71"/>
    <w:basedOn w:val="20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34">
    <w:name w:val="font41"/>
    <w:basedOn w:val="20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35">
    <w:name w:val="font51"/>
    <w:basedOn w:val="20"/>
    <w:qFormat/>
    <w:uiPriority w:val="0"/>
    <w:rPr>
      <w:rFonts w:hint="default" w:ascii="Arial" w:hAnsi="Arial" w:cs="Arial"/>
      <w:color w:val="000000"/>
      <w:sz w:val="16"/>
      <w:szCs w:val="16"/>
      <w:u w:val="none"/>
    </w:rPr>
  </w:style>
  <w:style w:type="character" w:customStyle="1" w:styleId="36">
    <w:name w:val="font01"/>
    <w:basedOn w:val="20"/>
    <w:qFormat/>
    <w:uiPriority w:val="0"/>
    <w:rPr>
      <w:rFonts w:hint="eastAsia" w:ascii="宋体" w:hAnsi="宋体" w:eastAsia="宋体" w:cs="宋体"/>
      <w:color w:val="000000"/>
      <w:sz w:val="16"/>
      <w:szCs w:val="16"/>
      <w:u w:val="none"/>
    </w:rPr>
  </w:style>
  <w:style w:type="paragraph" w:customStyle="1" w:styleId="37">
    <w:name w:val="正文缩进1"/>
    <w:basedOn w:val="1"/>
    <w:qFormat/>
    <w:uiPriority w:val="99"/>
    <w:pPr>
      <w:ind w:firstLine="420" w:firstLineChars="200"/>
    </w:pPr>
  </w:style>
  <w:style w:type="table" w:customStyle="1" w:styleId="38">
    <w:name w:val="Table Normal"/>
    <w:unhideWhenUsed/>
    <w:qFormat/>
    <w:uiPriority w:val="0"/>
    <w:rPr>
      <w:lang w:val="en-US" w:eastAsia="zh-CN" w:bidi="ar-S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3860</Words>
  <Characters>4264</Characters>
  <Lines>60</Lines>
  <Paragraphs>17</Paragraphs>
  <TotalTime>225</TotalTime>
  <ScaleCrop>false</ScaleCrop>
  <LinksUpToDate>false</LinksUpToDate>
  <CharactersWithSpaces>4324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2021-11-21T10:33:00Z</dcterms:created>
  <dc:creator>xbany</dc:creator>
  <cp:lastModifiedBy>小幸福！</cp:lastModifiedBy>
  <cp:lastPrinted>2024-08-30T08:55:00Z</cp:lastPrinted>
  <dcterms:modified xsi:type="dcterms:W3CDTF">2024-11-07T08:46:18Z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D2C9256EB7614A42A69DB7A8F7D0B4D2_13</vt:lpwstr>
  </property>
</Properties>
</file>