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202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金河镇宝丰村丰庆产业园</w:t>
      </w:r>
    </w:p>
    <w:p>
      <w:pPr>
        <w:tabs>
          <w:tab w:val="left" w:pos="2100"/>
        </w:tabs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农机综合仓库建设项目</w:t>
      </w:r>
    </w:p>
    <w:p>
      <w:pPr>
        <w:tabs>
          <w:tab w:val="left" w:pos="2100"/>
        </w:tabs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事中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绩效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监控报告</w:t>
      </w:r>
    </w:p>
    <w:p>
      <w:pPr>
        <w:tabs>
          <w:tab w:val="left" w:pos="210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tabs>
          <w:tab w:val="left" w:pos="210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为提高财政资金使用效益,加快财政预算支出进度，根据《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金台区预算绩效运行监控管理暂行办法</w:t>
      </w:r>
      <w:r>
        <w:rPr>
          <w:rFonts w:hint="eastAsia" w:ascii="仿宋" w:hAnsi="仿宋" w:eastAsia="仿宋" w:cs="仿宋"/>
          <w:kern w:val="0"/>
          <w:sz w:val="32"/>
          <w:szCs w:val="32"/>
        </w:rPr>
        <w:t>》（宝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金财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〕1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金台区财政局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《关于开展202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年度事中绩效监控工作的通知》（宝金财〔202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〕5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号）相关文件精神，遵循科学性、规范性、客观性、公正性的原则，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区财政局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成立绩效评价工作组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，采取现场座谈交流、查阅相关资料、查询账务系统等方式，对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2024年金河镇宝丰村丰庆产业园农机综合仓库建设项目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绩效目标实现程度和预算执行进度进行“双监控”，现将监控情况报告如下：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1.项目名称：2024年金河镇宝丰村丰庆产业园农机综合仓库建设项目。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2.项目实施单位：陕西德华永亨建设工程有限公司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3.项目预算：计划投资140.00万元，其中：中央资金78.00万元、省级资金42.00万元、其他资金20.00万元。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4.主要内容：建设304.55㎡钢构仓库和安装电动单梁起重机一台。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5.项目目的：关注农民需求，提升农业机械化水平，提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高农业生产效率。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二、绩效监控工作开展情况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（一）监控目的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强化衔接资金项目常态化监管，以计划投资为控制目标，按合同承包价为控制的依据，严格控制质量、绩效目标、带动情况定期进行排查梳理，确保工程的质量按施工合同规定的标准实现。以计划工期120日历天为控制目标，按施工合同规定的工期为进度控制的依据，全面强化项目管理，确保本工程所有项目在工期内保质保量地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（二）监控方法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1.严把材料关。坚决杜绝不合格产品进入工地。工程所用的材料，规格和质量应符合国家现行标准。在材料进场后，检查材料合格证、质保书等。上网查询，符合要求规范使用在本工程上。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2.样板间先行原则。经甲方、监理共同验收合格后，再进行大面积施工。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加强事中巡视、检查。督促施工单位，每道工序完成后，施工单位进行自检，合格后再进行验收。加大现场巡视力度，发现问题及时指出，要求施工单位进行整改，并督促其落实既保证了工程质量，也为施工单位减少了返工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（三）绩效监控的局限性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1.由于评价时间、人力等限制，加之项目线长、面较广，获取数据与信息来源存在局限性。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2.评价工作人员知识面、经验等限制，在理解和判断上存在认知局限性。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3.由于绩效目标监控和预算执行监控之间的联动关系尚未完全建立，绩效监控难以全面反映项目绩效目标偏差和预算执行问题。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三、绩效监控分析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（1）仓库建设截至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7月份，进度达到70%。基础部分于7月底完工，仓库主体部分8月底完工。选址和规划设计节点按时完成，基础工程施工节点基本按计划完成。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（2）起重机预计8月底安装，预计于9月中旬完工。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（二）预算执行进度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1.预算资金到位情况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金台区财政局已将专项资金120.00万元下达到项目单位。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2.预算执行情况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截至目前，项目单位已支出成本98万元，占预算的70%。其中，中央资金支出78万元，预算执行率达100%；省级资金支出0元；其他资金支出20万元，预算执行率达100%。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表1   项目到位资金及执行情况表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0"/>
        <w:gridCol w:w="796"/>
        <w:gridCol w:w="1390"/>
        <w:gridCol w:w="1379"/>
        <w:gridCol w:w="1026"/>
        <w:gridCol w:w="118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2" w:type="dxa"/>
            <w:tcBorders>
              <w:left w:val="nil"/>
            </w:tcBorders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696" w:type="dxa"/>
            <w:gridSpan w:val="2"/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预算资金</w:t>
            </w:r>
          </w:p>
        </w:tc>
        <w:tc>
          <w:tcPr>
            <w:tcW w:w="1390" w:type="dxa"/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到位资金</w:t>
            </w:r>
          </w:p>
        </w:tc>
        <w:tc>
          <w:tcPr>
            <w:tcW w:w="1379" w:type="dxa"/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支出资金</w:t>
            </w:r>
          </w:p>
        </w:tc>
        <w:tc>
          <w:tcPr>
            <w:tcW w:w="1026" w:type="dxa"/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到位率</w:t>
            </w:r>
          </w:p>
        </w:tc>
        <w:tc>
          <w:tcPr>
            <w:tcW w:w="1181" w:type="dxa"/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预算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执行率</w:t>
            </w:r>
          </w:p>
        </w:tc>
        <w:tc>
          <w:tcPr>
            <w:tcW w:w="1168" w:type="dxa"/>
            <w:tcBorders>
              <w:right w:val="nil"/>
            </w:tcBorders>
            <w:shd w:val="clear" w:color="auto" w:fill="D7D7D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中央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78.00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78.00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78.00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1168" w:type="dxa"/>
            <w:tcBorders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省级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42.00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42.00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0.00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0%</w:t>
            </w:r>
          </w:p>
        </w:tc>
        <w:tc>
          <w:tcPr>
            <w:tcW w:w="1168" w:type="dxa"/>
            <w:tcBorders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其他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20.00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20.00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20.00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1168" w:type="dxa"/>
            <w:tcBorders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（三）目标实现程度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已完成的基础工程质量经检测合格，符合设计要求。但在施工过程中也发现了一些问题，如施工过程中工人不按规定佩戴安全帽，钢筋搭接不规范等，已及时要求施工单位整改。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（四）绩效延伸监控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根据本次事中绩效监控，仓库质量检测合格，后续主体结构建设也应加强监管，在施工过程中，提升作业规范度，确保工程顺利完工，保障工程质量。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四、绩效监控结论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通过对2024年金河镇宝丰村丰庆产业园农机综合仓库建设项目的事中绩效监控，我们可以看出项目在实施过程中取得了一定的成绩，但也存在一些问题。我们将继续加强对项目的监督和管理，及时解决出现的问题，确保项目按时、按质、按量完成，为宝丰村丰庆产业园的发展提供有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1.施工进度滞后，可能影响项目按时交付使用。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2.部分施工材料质量不稳定，影响工程质量。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3.与周边居民的沟通协调不够，可能引发矛盾。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六、相关建议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1.督促施工单位优化施工方案，增加施工人员和设备投入，加快施工进度。严格遵守工程相关管理规定。加强对施工材料的质量管控，建立严格的材料检验制度。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2.加强与周边居民的沟通协调，通过入户走访等形式了解群众诉求和反馈，及时解决可能出现的矛盾和问题。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项目单位要切实担负起预算绩效管理主体责任，进一步完善内部管理机制，严格按照既定的项目绩效目标指标任务，科学规划行动方案，制定确保项目目标实现的保障措施，同时，要加强预算绩效管理的监督检查力度，着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www.so.com/link?m=bnd0CS7m7t9AaAvPB2vH3BRP3/yfQNsp7znNkGwWuAe2gRUIUiYZWEEBblmgEYi8HDloBvW8bC0mfHnSxA9UV1RBK/q3fx8zjIVpaTUgIaI3PDpZjJw+1eKU+k5YLUEFStmegNVtQIutFjMVz2F2ygLqp5a5M4MsKcIfm1NDvADG/SVEEgtZsLfSEEFShYsXI52EGDRCuBmB4+bEXdNWf7HQiuw3pahee5pto3xMW5uZP03jp72j5kYnxo5Z8Oll7hG6fwixOvCgwBFnMyWQeGVuYLi05PdBLV6tdSyohm7xKa/ACeP3f3vzV8oTGbts7" \t "https://www.so.com/_blank"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提高财政资金使用效益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.项目实施单位要扎实开展绩效自评工作，通过对项目相关制度建立情况、资金使用情况、绩效目标实现等情况进行自我评价，了解资金使用是否达到预期目标、资金管理是否规范、资金使用是否有效，检验资金支出效率和效果，分析存在问题及原因，及时总结经验，改进管理措施，不断增强和落实绩效管理责任，完善工作机制，有效提高资金管理水平和使用效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ab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附件：</w:t>
      </w:r>
    </w:p>
    <w:p>
      <w:pPr>
        <w:spacing w:line="640" w:lineRule="exact"/>
        <w:ind w:left="1597" w:leftChars="608" w:hanging="320" w:hangingChars="100"/>
        <w:jc w:val="left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1.2024年金河镇宝丰村丰庆产业园农机综合仓库建设项目绩效运行监控表 </w:t>
      </w:r>
    </w:p>
    <w:p>
      <w:pPr>
        <w:spacing w:line="640" w:lineRule="exact"/>
        <w:ind w:firstLine="960" w:firstLineChars="300"/>
        <w:jc w:val="left"/>
        <w:outlineLvl w:val="0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2.绩效考评组成员表</w:t>
      </w: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120" w:firstLineChars="16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120" w:firstLineChars="16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宝鸡市金台区财政局</w:t>
      </w:r>
    </w:p>
    <w:p>
      <w:pPr>
        <w:spacing w:line="560" w:lineRule="exact"/>
        <w:ind w:firstLine="4160" w:firstLineChars="13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2024年8月27日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br w:type="page"/>
      </w:r>
    </w:p>
    <w:tbl>
      <w:tblPr>
        <w:tblStyle w:val="7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32"/>
        <w:gridCol w:w="1063"/>
        <w:gridCol w:w="1432"/>
        <w:gridCol w:w="956"/>
        <w:gridCol w:w="1608"/>
        <w:gridCol w:w="777"/>
        <w:gridCol w:w="791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绩效运行监控表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2024年金河镇宝丰村丰庆产业园农机综合仓库建设项目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13809171915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金台区农业农村局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1-7月份执行数（B）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其中：上级财政资金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区级财政资金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1、建设304.55平方米低合金重钢结构仓库（长18.48米，宽16.48米，高9.15米），地基做钢筋混凝土柱基和圈梁处理；2、安装电动单梁起重机（5TLD型）1台。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1、建设304.55平方米低合金重钢结构仓库（长18.48米，宽16.48米，高9.15米），地基做钢筋混凝土柱基和圈梁处理；2、安装电动单梁起重机（5TLD型）1台。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1-7月完成情况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全年预计完成值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304.55平方米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304.55平方米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304.55平方米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未安装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未验收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财政投入资金（万元）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年产值（万元）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发展壮大可持续影响本村经济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农户满意度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03"/>
        </w:tabs>
        <w:bidi w:val="0"/>
        <w:jc w:val="left"/>
        <w:rPr>
          <w:rFonts w:hint="eastAsia"/>
          <w:lang w:val="en-US" w:eastAsia="zh-CN"/>
        </w:rPr>
      </w:pPr>
    </w:p>
    <w:p>
      <w:pPr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680" w:lineRule="exact"/>
        <w:jc w:val="center"/>
        <w:outlineLvl w:val="0"/>
        <w:rPr>
          <w:rFonts w:hint="eastAsia" w:ascii="仿宋" w:eastAsia="仿宋" w:cs="仿宋"/>
          <w:b/>
          <w:bCs/>
          <w:sz w:val="36"/>
          <w:szCs w:val="36"/>
        </w:rPr>
      </w:pPr>
      <w:r>
        <w:rPr>
          <w:rFonts w:hint="eastAsia" w:ascii="仿宋" w:eastAsia="仿宋" w:cs="仿宋"/>
          <w:b/>
          <w:bCs/>
          <w:sz w:val="36"/>
          <w:szCs w:val="36"/>
        </w:rPr>
        <w:t>绩效评价组成员表</w:t>
      </w:r>
    </w:p>
    <w:p>
      <w:pPr>
        <w:pStyle w:val="2"/>
      </w:pPr>
    </w:p>
    <w:p>
      <w:pPr>
        <w:spacing w:line="8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胡海刚</w:t>
      </w:r>
      <w:r>
        <w:rPr>
          <w:rFonts w:hint="eastAsia" w:ascii="仿宋_GB2312" w:eastAsia="仿宋_GB2312" w:cs="仿宋_GB2312"/>
          <w:sz w:val="32"/>
          <w:szCs w:val="32"/>
        </w:rPr>
        <w:t xml:space="preserve">  宝鸡市金台区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财政局副局长</w:t>
      </w:r>
    </w:p>
    <w:p>
      <w:pPr>
        <w:spacing w:line="800" w:lineRule="exact"/>
        <w:ind w:left="2238" w:leftChars="304" w:hanging="1600" w:hangingChars="50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李彦彬</w:t>
      </w:r>
      <w:r>
        <w:rPr>
          <w:rFonts w:hint="eastAsia" w:ascii="仿宋_GB2312" w:eastAsia="仿宋_GB2312" w:cs="仿宋_GB2312"/>
          <w:sz w:val="32"/>
          <w:szCs w:val="32"/>
        </w:rPr>
        <w:t xml:space="preserve">  宝鸡市金台区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财政局农业农村股股长（主评人）</w:t>
      </w:r>
    </w:p>
    <w:p>
      <w:pPr>
        <w:spacing w:line="800" w:lineRule="exact"/>
        <w:ind w:left="2238" w:leftChars="304" w:hanging="1600" w:hangingChars="50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李  菁</w:t>
      </w:r>
      <w:r>
        <w:rPr>
          <w:rFonts w:hint="eastAsia" w:ascii="仿宋_GB2312" w:eastAsia="仿宋_GB2312" w:cs="仿宋_GB2312"/>
          <w:sz w:val="32"/>
          <w:szCs w:val="32"/>
        </w:rPr>
        <w:t xml:space="preserve">  宝鸡市金台区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财政局农业农村股科员</w:t>
      </w: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ODllZThiYTk4NTNlY2UwOTIxYTVkY2U2ZmIyZmYifQ=="/>
    <w:docVar w:name="KSO_WPS_MARK_KEY" w:val="b06b9ed7-98f3-48bb-bf2a-ddddbc2154ec"/>
  </w:docVars>
  <w:rsids>
    <w:rsidRoot w:val="00000000"/>
    <w:rsid w:val="01453A14"/>
    <w:rsid w:val="06161020"/>
    <w:rsid w:val="083420ED"/>
    <w:rsid w:val="09376F42"/>
    <w:rsid w:val="093B0E50"/>
    <w:rsid w:val="0B0C7351"/>
    <w:rsid w:val="0B636B80"/>
    <w:rsid w:val="0EAF24CD"/>
    <w:rsid w:val="11484BA6"/>
    <w:rsid w:val="17AC7447"/>
    <w:rsid w:val="17F14B7C"/>
    <w:rsid w:val="1E751EBE"/>
    <w:rsid w:val="22AC349C"/>
    <w:rsid w:val="24431359"/>
    <w:rsid w:val="28722A91"/>
    <w:rsid w:val="29526C13"/>
    <w:rsid w:val="2CF03F85"/>
    <w:rsid w:val="2D960FD0"/>
    <w:rsid w:val="2E9261B4"/>
    <w:rsid w:val="3159705F"/>
    <w:rsid w:val="31614F38"/>
    <w:rsid w:val="36DD557A"/>
    <w:rsid w:val="3D420D09"/>
    <w:rsid w:val="422E7FBC"/>
    <w:rsid w:val="446675A4"/>
    <w:rsid w:val="45130BEA"/>
    <w:rsid w:val="4CB93F3C"/>
    <w:rsid w:val="4D190F74"/>
    <w:rsid w:val="5089064D"/>
    <w:rsid w:val="57D65228"/>
    <w:rsid w:val="5FAA384F"/>
    <w:rsid w:val="6566711C"/>
    <w:rsid w:val="68AD274F"/>
    <w:rsid w:val="6DD765F8"/>
    <w:rsid w:val="70BD1A31"/>
    <w:rsid w:val="7543373D"/>
    <w:rsid w:val="76740D50"/>
    <w:rsid w:val="7AF111D8"/>
    <w:rsid w:val="7BEE1BB0"/>
    <w:rsid w:val="7F227B81"/>
    <w:rsid w:val="7F8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Body Text 2"/>
    <w:basedOn w:val="1"/>
    <w:qFormat/>
    <w:uiPriority w:val="99"/>
    <w:rPr>
      <w:rFonts w:ascii="楷体_GB2312" w:hAnsi="Copperplate Gothic Bold" w:eastAsia="楷体_GB2312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2636</Words>
  <Characters>2913</Characters>
  <Lines>0</Lines>
  <Paragraphs>0</Paragraphs>
  <TotalTime>16</TotalTime>
  <ScaleCrop>false</ScaleCrop>
  <LinksUpToDate>false</LinksUpToDate>
  <CharactersWithSpaces>2944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2024-09-26T08:00:00Z</dcterms:created>
  <dc:creator>lenovo</dc:creator>
  <cp:lastModifiedBy>小幸福！</cp:lastModifiedBy>
  <dcterms:modified xsi:type="dcterms:W3CDTF">2024-11-07T08:48:51Z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CE730B7FAB4E4228B3A478971143BB19_13</vt:lpwstr>
  </property>
</Properties>
</file>