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名 词 解 释</w:t>
      </w:r>
    </w:p>
    <w:p>
      <w:pPr>
        <w:widowControl/>
        <w:shd w:val="clear" w:color="auto" w:fill="FFFFFF"/>
        <w:spacing w:line="480" w:lineRule="auto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 xml:space="preserve">    1.政府支出功能分类</w:t>
      </w:r>
      <w:r>
        <w:rPr>
          <w:rFonts w:hint="eastAsia" w:ascii="仿宋" w:hAnsi="仿宋" w:eastAsia="仿宋" w:cs="宋体"/>
          <w:kern w:val="0"/>
          <w:sz w:val="32"/>
          <w:szCs w:val="32"/>
        </w:rPr>
        <w:t>:</w:t>
      </w:r>
      <w:r>
        <w:rPr>
          <w:rFonts w:hint="eastAsia" w:ascii="仿宋" w:hAnsi="仿宋" w:eastAsia="仿宋"/>
          <w:color w:val="26214A"/>
          <w:sz w:val="32"/>
          <w:szCs w:val="32"/>
          <w:shd w:val="clear" w:color="auto" w:fill="F8F8F8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主要反映政府的各项职能活动的支出，我国政府支出功能分类设置一般公共服务、外交、国防、公共安全、教育等大类，类下再分款、项两级,如一般公共服务类下分人大事务、发展与改革事务等款支出,通常由财政总预算会计按财政支出的功能详细列示,以反映政府用于各项事务的总括支出。以“教育”为例，类、款、项三级结构对应为“教育”—“普通教育”—“小学教育”，反映出政府为完成教育职能在“普通教育”中用于“小学教育”这个具体方面的支出费用多少。</w:t>
      </w:r>
    </w:p>
    <w:p>
      <w:pPr>
        <w:widowControl/>
        <w:shd w:val="clear" w:color="auto" w:fill="FFFFFF"/>
        <w:spacing w:line="480" w:lineRule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2.</w:t>
      </w:r>
      <w:r>
        <w:rPr>
          <w:rFonts w:hint="eastAsia" w:ascii="仿宋" w:hAnsi="仿宋" w:eastAsia="仿宋"/>
          <w:b/>
          <w:color w:val="26214A"/>
          <w:sz w:val="32"/>
          <w:szCs w:val="32"/>
          <w:shd w:val="clear" w:color="auto" w:fill="F8F8F8"/>
        </w:rPr>
        <w:t xml:space="preserve"> 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政府支出经济分类:</w:t>
      </w:r>
      <w:r>
        <w:rPr>
          <w:rFonts w:hint="eastAsia" w:ascii="仿宋" w:hAnsi="仿宋" w:eastAsia="仿宋" w:cs="宋体"/>
          <w:kern w:val="0"/>
          <w:sz w:val="32"/>
          <w:szCs w:val="32"/>
        </w:rPr>
        <w:t>主要反映政府支出的经济性质和具体用途,通常由使用财政拨款的单位在执行预算执行时具体列示。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支出经济分类设类、款两级，</w:t>
      </w:r>
      <w:r>
        <w:rPr>
          <w:rFonts w:hint="eastAsia" w:ascii="仿宋" w:hAnsi="仿宋" w:eastAsia="仿宋" w:cs="宋体"/>
          <w:kern w:val="0"/>
          <w:sz w:val="32"/>
          <w:szCs w:val="32"/>
        </w:rPr>
        <w:t>比如教育经费中分别有多少用于教师工资、房屋建设、教学设备、修缮等，这种分类更能一目了然地分清“钱花到哪儿去了”。</w:t>
      </w:r>
    </w:p>
    <w:p>
      <w:pPr>
        <w:widowControl/>
        <w:shd w:val="clear" w:color="auto" w:fill="FFFFFF"/>
        <w:spacing w:line="480" w:lineRule="auto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3.“三公”经费：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是指用财政拨款安排的因公出国（境）费、公务用车购置及运行费和公务接待费。其中:因公出国（境）费反映单位公务出国（境）的国际旅费、国外城市间交通费、住宿费、伙食费、培训费、公杂费等支出；公务用车购置及运行费反映单位公务用车车辆购置支出（含车辆购置税、牌照费）及按规定保留的公务用车燃料费、维修费、过路过桥费、保险费、安全奖励费用等支出；公务接待费反映单位按规定开支的各类公务接待（含外宾接待）支出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4.机关运行经费：</w:t>
      </w:r>
      <w:r>
        <w:rPr>
          <w:rFonts w:hint="eastAsia" w:ascii="仿宋" w:hAnsi="仿宋" w:eastAsia="仿宋" w:cs="宋体"/>
          <w:kern w:val="0"/>
          <w:sz w:val="32"/>
          <w:szCs w:val="32"/>
        </w:rPr>
        <w:t>为保障行政单位（包括参照公务员法管理的事业单位）运行用于购买货物和服务的各项公用经费，包括办公费、印刷费、邮电费、差旅费、会议费、福利费、日常维修费、专用材料及办公用房水电费、办公用房取暖费、办公用房物业管理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>费、公务用车运行维护费以及其他费用。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B16"/>
    <w:rsid w:val="003E4C32"/>
    <w:rsid w:val="004A1C11"/>
    <w:rsid w:val="004E2B16"/>
    <w:rsid w:val="00C576C5"/>
    <w:rsid w:val="00D51ED0"/>
    <w:rsid w:val="00F116BE"/>
    <w:rsid w:val="6838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105</Words>
  <Characters>605</Characters>
  <Lines>5</Lines>
  <Paragraphs>1</Paragraphs>
  <TotalTime>18</TotalTime>
  <ScaleCrop>false</ScaleCrop>
  <LinksUpToDate>false</LinksUpToDate>
  <CharactersWithSpaces>709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2018-01-12T09:51:00Z</dcterms:created>
  <dc:creator>微软用户</dc:creator>
  <cp:lastModifiedBy>Administrator</cp:lastModifiedBy>
  <dcterms:modified xsi:type="dcterms:W3CDTF">2019-08-05T02:07:29Z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